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b/>
          <w:color w:val="auto"/>
          <w:sz w:val="48"/>
          <w:szCs w:val="48"/>
          <w:highlight w:val="none"/>
          <w:u w:val="none"/>
        </w:rPr>
      </w:pPr>
      <w:r>
        <w:rPr>
          <w:rFonts w:ascii="黑体" w:hAnsi="黑体" w:eastAsia="黑体" w:cs="Times New Roman"/>
          <w:color w:val="auto"/>
          <w:sz w:val="32"/>
          <w:szCs w:val="32"/>
          <w:highlight w:val="none"/>
          <w:u w:val="none"/>
        </w:rPr>
        <w:t>附件</w:t>
      </w:r>
      <w:r>
        <w:rPr>
          <w:rFonts w:hint="eastAsia" w:ascii="黑体" w:hAnsi="黑体" w:eastAsia="黑体" w:cs="Times New Roman"/>
          <w:color w:val="auto"/>
          <w:sz w:val="32"/>
          <w:szCs w:val="32"/>
          <w:highlight w:val="none"/>
          <w:u w:val="none"/>
          <w:lang w:val="en-US" w:eastAsia="zh-CN"/>
        </w:rPr>
        <w:t>2</w:t>
      </w:r>
      <w:r>
        <w:rPr>
          <w:rFonts w:ascii="Times New Roman" w:hAnsi="Times New Roman" w:eastAsia="仿宋" w:cs="Times New Roman"/>
          <w:b/>
          <w:color w:val="auto"/>
          <w:sz w:val="48"/>
          <w:szCs w:val="48"/>
          <w:highlight w:val="none"/>
          <w:u w:val="none"/>
        </w:rPr>
        <w:t xml:space="preserve">         </w:t>
      </w: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snapToGrid w:val="0"/>
        <w:spacing w:before="156"/>
        <w:jc w:val="center"/>
        <w:rPr>
          <w:rFonts w:ascii="Times New Roman" w:hAnsi="Times New Roman" w:eastAsia="仿宋" w:cs="Times New Roman"/>
          <w:color w:val="auto"/>
          <w:spacing w:val="-4"/>
          <w:sz w:val="56"/>
          <w:szCs w:val="56"/>
          <w:highlight w:val="none"/>
          <w:u w:val="none"/>
        </w:rPr>
      </w:pPr>
      <w:r>
        <w:rPr>
          <w:rFonts w:hint="eastAsia" w:ascii="Times New Roman" w:hAnsi="Times New Roman" w:eastAsia="仿宋" w:cs="Times New Roman"/>
          <w:color w:val="auto"/>
          <w:spacing w:val="-4"/>
          <w:sz w:val="56"/>
          <w:szCs w:val="56"/>
          <w:highlight w:val="none"/>
          <w:u w:val="none"/>
          <w:lang w:val="en-US" w:eastAsia="zh-CN"/>
        </w:rPr>
        <w:t>长春市</w:t>
      </w:r>
      <w:r>
        <w:rPr>
          <w:rFonts w:ascii="Times New Roman" w:hAnsi="Times New Roman" w:eastAsia="仿宋" w:cs="Times New Roman"/>
          <w:color w:val="auto"/>
          <w:spacing w:val="-4"/>
          <w:sz w:val="56"/>
          <w:szCs w:val="56"/>
          <w:highlight w:val="none"/>
          <w:u w:val="none"/>
        </w:rPr>
        <w:t>生态环境准入清单</w:t>
      </w: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rPr>
          <w:rFonts w:ascii="Times New Roman" w:hAnsi="Times New Roman" w:eastAsia="仿宋" w:cs="Times New Roman"/>
          <w:b/>
          <w:color w:val="auto"/>
          <w:sz w:val="48"/>
          <w:szCs w:val="48"/>
          <w:highlight w:val="none"/>
          <w:u w:val="none"/>
        </w:rPr>
      </w:pPr>
    </w:p>
    <w:p>
      <w:pPr>
        <w:jc w:val="center"/>
        <w:rPr>
          <w:rFonts w:ascii="Times New Roman" w:hAnsi="Times New Roman" w:eastAsia="仿宋" w:cs="Times New Roman"/>
          <w:b/>
          <w:color w:val="auto"/>
          <w:sz w:val="48"/>
          <w:szCs w:val="48"/>
          <w:highlight w:val="none"/>
          <w:u w:val="none"/>
        </w:rPr>
      </w:pPr>
    </w:p>
    <w:p>
      <w:pPr>
        <w:jc w:val="center"/>
        <w:rPr>
          <w:rFonts w:ascii="Times New Roman" w:hAnsi="Times New Roman" w:eastAsia="仿宋" w:cs="Times New Roman"/>
          <w:b/>
          <w:color w:val="auto"/>
          <w:sz w:val="36"/>
          <w:szCs w:val="36"/>
          <w:highlight w:val="none"/>
          <w:u w:val="none"/>
        </w:rPr>
      </w:pPr>
      <w:r>
        <w:rPr>
          <w:rFonts w:ascii="Times New Roman" w:hAnsi="Times New Roman" w:eastAsia="仿宋" w:cs="Times New Roman"/>
          <w:b/>
          <w:color w:val="auto"/>
          <w:sz w:val="36"/>
          <w:szCs w:val="36"/>
          <w:highlight w:val="none"/>
          <w:u w:val="none"/>
        </w:rPr>
        <w:t>二〇二</w:t>
      </w:r>
      <w:r>
        <w:rPr>
          <w:rFonts w:hint="eastAsia" w:ascii="Times New Roman" w:hAnsi="Times New Roman" w:eastAsia="仿宋" w:cs="Times New Roman"/>
          <w:b/>
          <w:color w:val="auto"/>
          <w:sz w:val="36"/>
          <w:szCs w:val="36"/>
          <w:highlight w:val="none"/>
          <w:u w:val="none"/>
          <w:lang w:val="en-US" w:eastAsia="zh-CN"/>
        </w:rPr>
        <w:t>四</w:t>
      </w:r>
      <w:r>
        <w:rPr>
          <w:rFonts w:ascii="Times New Roman" w:hAnsi="Times New Roman" w:eastAsia="仿宋" w:cs="Times New Roman"/>
          <w:b/>
          <w:color w:val="auto"/>
          <w:sz w:val="36"/>
          <w:szCs w:val="36"/>
          <w:highlight w:val="none"/>
          <w:u w:val="none"/>
        </w:rPr>
        <w:t>年</w:t>
      </w:r>
      <w:r>
        <w:rPr>
          <w:rFonts w:hint="eastAsia" w:ascii="Times New Roman" w:hAnsi="Times New Roman" w:eastAsia="仿宋" w:cs="Times New Roman"/>
          <w:b/>
          <w:color w:val="auto"/>
          <w:sz w:val="36"/>
          <w:szCs w:val="36"/>
          <w:highlight w:val="none"/>
          <w:u w:val="none"/>
          <w:lang w:val="en-US" w:eastAsia="zh-CN"/>
        </w:rPr>
        <w:t>九</w:t>
      </w:r>
      <w:r>
        <w:rPr>
          <w:rFonts w:ascii="Times New Roman" w:hAnsi="Times New Roman" w:eastAsia="仿宋" w:cs="Times New Roman"/>
          <w:b/>
          <w:color w:val="auto"/>
          <w:sz w:val="36"/>
          <w:szCs w:val="36"/>
          <w:highlight w:val="none"/>
          <w:u w:val="none"/>
        </w:rPr>
        <w:t>月</w:t>
      </w:r>
    </w:p>
    <w:p>
      <w:pPr>
        <w:jc w:val="center"/>
        <w:rPr>
          <w:rFonts w:ascii="Times New Roman" w:hAnsi="Times New Roman" w:eastAsia="仿宋" w:cs="Times New Roman"/>
          <w:b/>
          <w:color w:val="auto"/>
          <w:sz w:val="36"/>
          <w:szCs w:val="36"/>
          <w:highlight w:val="none"/>
          <w:u w:val="none"/>
        </w:rPr>
        <w:sectPr>
          <w:headerReference r:id="rId5" w:type="first"/>
          <w:headerReference r:id="rId3" w:type="default"/>
          <w:footerReference r:id="rId6" w:type="default"/>
          <w:headerReference r:id="rId4" w:type="even"/>
          <w:footerReference r:id="rId7" w:type="even"/>
          <w:pgSz w:w="23811" w:h="16838" w:orient="landscape"/>
          <w:pgMar w:top="1797" w:right="1440" w:bottom="1797" w:left="1440" w:header="851" w:footer="992" w:gutter="0"/>
          <w:pgNumType w:start="1"/>
          <w:cols w:space="425" w:num="1"/>
          <w:docGrid w:type="linesAndChars" w:linePitch="312" w:charSpace="0"/>
        </w:sectPr>
      </w:pPr>
    </w:p>
    <w:p>
      <w:pPr>
        <w:rPr>
          <w:rFonts w:ascii="Times New Roman" w:hAnsi="Times New Roman" w:eastAsia="仿宋" w:cs="Times New Roman"/>
          <w:color w:val="auto"/>
          <w:highlight w:val="none"/>
          <w:u w:val="none"/>
        </w:rPr>
      </w:pPr>
    </w:p>
    <w:sdt>
      <w:sdtPr>
        <w:rPr>
          <w:rFonts w:hint="default" w:ascii="Times New Roman" w:hAnsi="Times New Roman" w:eastAsia="仿宋" w:cs="Times New Roman"/>
          <w:b/>
          <w:bCs/>
          <w:color w:val="auto"/>
          <w:kern w:val="2"/>
          <w:sz w:val="40"/>
          <w:szCs w:val="44"/>
          <w:highlight w:val="none"/>
          <w:u w:val="none"/>
          <w:lang w:val="en-US" w:eastAsia="zh-CN" w:bidi="ar-SA"/>
        </w:rPr>
        <w:id w:val="147466138"/>
        <w15:color w:val="DBDBDB"/>
        <w:docPartObj>
          <w:docPartGallery w:val="Table of Contents"/>
          <w:docPartUnique/>
        </w:docPartObj>
      </w:sdtPr>
      <w:sdtEndPr>
        <w:rPr>
          <w:rFonts w:hint="default" w:ascii="Times New Roman" w:hAnsi="Times New Roman" w:eastAsia="仿宋_GB2312" w:cs="Times New Roman"/>
          <w:b/>
          <w:bCs/>
          <w:color w:val="auto"/>
          <w:kern w:val="0"/>
          <w:sz w:val="24"/>
          <w:szCs w:val="24"/>
          <w:highlight w:val="none"/>
          <w:u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仿宋" w:cs="Times New Roman"/>
              <w:b/>
              <w:bCs/>
              <w:color w:val="auto"/>
              <w:sz w:val="48"/>
              <w:szCs w:val="52"/>
              <w:highlight w:val="none"/>
              <w:u w:val="none"/>
            </w:rPr>
          </w:pPr>
          <w:bookmarkStart w:id="0" w:name="_Toc25279"/>
          <w:bookmarkStart w:id="1" w:name="_Toc19848"/>
          <w:r>
            <w:rPr>
              <w:rFonts w:hint="default" w:ascii="Times New Roman" w:hAnsi="Times New Roman" w:eastAsia="仿宋" w:cs="Times New Roman"/>
              <w:b/>
              <w:bCs/>
              <w:color w:val="auto"/>
              <w:sz w:val="48"/>
              <w:szCs w:val="52"/>
              <w:highlight w:val="none"/>
              <w:u w:val="none"/>
            </w:rPr>
            <w:t>目录</w:t>
          </w:r>
        </w:p>
        <w:p>
          <w:pPr>
            <w:pStyle w:val="15"/>
            <w:tabs>
              <w:tab w:val="right" w:leader="dot" w:pos="20931"/>
            </w:tabs>
            <w:rPr>
              <w:sz w:val="28"/>
              <w:szCs w:val="28"/>
              <w:u w:val="none"/>
            </w:rPr>
          </w:pPr>
          <w:r>
            <w:rPr>
              <w:rFonts w:hint="default" w:ascii="Times New Roman" w:hAnsi="Times New Roman" w:cs="Times New Roman"/>
              <w:color w:val="auto"/>
              <w:sz w:val="52"/>
              <w:szCs w:val="52"/>
              <w:highlight w:val="none"/>
              <w:u w:val="none"/>
            </w:rPr>
            <w:fldChar w:fldCharType="begin"/>
          </w:r>
          <w:r>
            <w:rPr>
              <w:rFonts w:hint="default" w:ascii="Times New Roman" w:hAnsi="Times New Roman" w:cs="Times New Roman"/>
              <w:color w:val="auto"/>
              <w:sz w:val="52"/>
              <w:szCs w:val="52"/>
              <w:highlight w:val="none"/>
              <w:u w:val="none"/>
            </w:rPr>
            <w:instrText xml:space="preserve">TOC \o "1-3" \h \u </w:instrText>
          </w:r>
          <w:r>
            <w:rPr>
              <w:rFonts w:hint="default" w:ascii="Times New Roman" w:hAnsi="Times New Roman" w:cs="Times New Roman"/>
              <w:color w:val="auto"/>
              <w:sz w:val="52"/>
              <w:szCs w:val="52"/>
              <w:highlight w:val="none"/>
              <w:u w:val="none"/>
            </w:rPr>
            <w:fldChar w:fldCharType="separate"/>
          </w: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_Toc31751 </w:instrText>
          </w:r>
          <w:r>
            <w:rPr>
              <w:rFonts w:hint="default" w:ascii="Times New Roman" w:hAnsi="Times New Roman" w:cs="Times New Roman"/>
              <w:sz w:val="28"/>
              <w:szCs w:val="52"/>
              <w:highlight w:val="none"/>
              <w:u w:val="none"/>
            </w:rPr>
            <w:fldChar w:fldCharType="separate"/>
          </w:r>
          <w:r>
            <w:rPr>
              <w:rFonts w:hint="eastAsia" w:ascii="Times New Roman" w:hAnsi="Times New Roman" w:eastAsia="仿宋_GB2312" w:cs="Times New Roman"/>
              <w:sz w:val="28"/>
              <w:szCs w:val="40"/>
              <w:highlight w:val="none"/>
              <w:u w:val="none"/>
              <w:lang w:val="en-US" w:eastAsia="zh-CN"/>
            </w:rPr>
            <w:t>说  明</w:t>
          </w:r>
          <w:r>
            <w:rPr>
              <w:sz w:val="28"/>
              <w:szCs w:val="28"/>
              <w:u w:val="none"/>
            </w:rPr>
            <w:tab/>
          </w:r>
          <w:r>
            <w:rPr>
              <w:sz w:val="28"/>
              <w:szCs w:val="28"/>
              <w:u w:val="none"/>
            </w:rPr>
            <w:fldChar w:fldCharType="begin"/>
          </w:r>
          <w:r>
            <w:rPr>
              <w:sz w:val="28"/>
              <w:szCs w:val="28"/>
              <w:u w:val="none"/>
            </w:rPr>
            <w:instrText xml:space="preserve"> PAGEREF _Toc31751 \h </w:instrText>
          </w:r>
          <w:r>
            <w:rPr>
              <w:sz w:val="28"/>
              <w:szCs w:val="28"/>
              <w:u w:val="none"/>
            </w:rPr>
            <w:fldChar w:fldCharType="separate"/>
          </w:r>
          <w:r>
            <w:rPr>
              <w:sz w:val="28"/>
              <w:szCs w:val="28"/>
              <w:u w:val="none"/>
            </w:rPr>
            <w:t>1</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5"/>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_Toc9597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sz w:val="28"/>
              <w:szCs w:val="40"/>
              <w:highlight w:val="none"/>
              <w:u w:val="none"/>
            </w:rPr>
            <w:t>一、</w:t>
          </w:r>
          <w:r>
            <w:rPr>
              <w:rFonts w:hint="eastAsia" w:ascii="Times New Roman" w:hAnsi="Times New Roman" w:eastAsia="仿宋" w:cs="Times New Roman"/>
              <w:sz w:val="28"/>
              <w:szCs w:val="40"/>
              <w:highlight w:val="none"/>
              <w:u w:val="none"/>
              <w:lang w:val="en-US" w:eastAsia="zh-CN"/>
            </w:rPr>
            <w:t>长春市</w:t>
          </w:r>
          <w:r>
            <w:rPr>
              <w:rFonts w:ascii="Times New Roman" w:hAnsi="Times New Roman" w:eastAsia="仿宋" w:cs="Times New Roman"/>
              <w:sz w:val="28"/>
              <w:szCs w:val="40"/>
              <w:highlight w:val="none"/>
              <w:u w:val="none"/>
            </w:rPr>
            <w:t>总体准入要求</w:t>
          </w:r>
          <w:r>
            <w:rPr>
              <w:sz w:val="28"/>
              <w:szCs w:val="28"/>
              <w:u w:val="none"/>
            </w:rPr>
            <w:tab/>
          </w:r>
          <w:r>
            <w:rPr>
              <w:sz w:val="28"/>
              <w:szCs w:val="28"/>
              <w:u w:val="none"/>
            </w:rPr>
            <w:fldChar w:fldCharType="begin"/>
          </w:r>
          <w:r>
            <w:rPr>
              <w:sz w:val="28"/>
              <w:szCs w:val="28"/>
              <w:u w:val="none"/>
            </w:rPr>
            <w:instrText xml:space="preserve"> PAGEREF _Toc9597 \h </w:instrText>
          </w:r>
          <w:r>
            <w:rPr>
              <w:sz w:val="28"/>
              <w:szCs w:val="28"/>
              <w:u w:val="none"/>
            </w:rPr>
            <w:fldChar w:fldCharType="separate"/>
          </w:r>
          <w:r>
            <w:rPr>
              <w:sz w:val="28"/>
              <w:szCs w:val="28"/>
              <w:u w:val="none"/>
            </w:rPr>
            <w:t>1</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5"/>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_Toc1231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sz w:val="28"/>
              <w:szCs w:val="40"/>
              <w:highlight w:val="none"/>
              <w:u w:val="none"/>
            </w:rPr>
            <w:t>二、重点流域总体准入要求</w:t>
          </w:r>
          <w:r>
            <w:rPr>
              <w:sz w:val="28"/>
              <w:szCs w:val="28"/>
              <w:u w:val="none"/>
            </w:rPr>
            <w:tab/>
          </w:r>
          <w:r>
            <w:rPr>
              <w:sz w:val="28"/>
              <w:szCs w:val="28"/>
              <w:u w:val="none"/>
            </w:rPr>
            <w:fldChar w:fldCharType="begin"/>
          </w:r>
          <w:r>
            <w:rPr>
              <w:sz w:val="28"/>
              <w:szCs w:val="28"/>
              <w:u w:val="none"/>
            </w:rPr>
            <w:instrText xml:space="preserve"> PAGEREF _Toc1231 \h </w:instrText>
          </w:r>
          <w:r>
            <w:rPr>
              <w:sz w:val="28"/>
              <w:szCs w:val="28"/>
              <w:u w:val="none"/>
            </w:rPr>
            <w:fldChar w:fldCharType="separate"/>
          </w:r>
          <w:r>
            <w:rPr>
              <w:sz w:val="28"/>
              <w:szCs w:val="28"/>
              <w:u w:val="none"/>
            </w:rPr>
            <w:t>2</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5"/>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_Toc29226 </w:instrText>
          </w:r>
          <w:r>
            <w:rPr>
              <w:rFonts w:hint="default" w:ascii="Times New Roman" w:hAnsi="Times New Roman" w:cs="Times New Roman"/>
              <w:sz w:val="28"/>
              <w:szCs w:val="52"/>
              <w:highlight w:val="none"/>
              <w:u w:val="none"/>
            </w:rPr>
            <w:fldChar w:fldCharType="separate"/>
          </w:r>
          <w:r>
            <w:rPr>
              <w:rFonts w:hint="eastAsia" w:ascii="Times New Roman" w:hAnsi="Times New Roman" w:eastAsia="仿宋" w:cs="Times New Roman"/>
              <w:sz w:val="28"/>
              <w:szCs w:val="40"/>
              <w:highlight w:val="none"/>
              <w:u w:val="none"/>
              <w:lang w:val="en-US" w:eastAsia="zh-CN"/>
            </w:rPr>
            <w:t>三</w:t>
          </w:r>
          <w:r>
            <w:rPr>
              <w:rFonts w:ascii="Times New Roman" w:hAnsi="Times New Roman" w:eastAsia="仿宋" w:cs="Times New Roman"/>
              <w:sz w:val="28"/>
              <w:szCs w:val="40"/>
              <w:highlight w:val="none"/>
              <w:u w:val="none"/>
            </w:rPr>
            <w:t>、各县（市、区）管控单元准入要求</w:t>
          </w:r>
          <w:r>
            <w:rPr>
              <w:sz w:val="28"/>
              <w:szCs w:val="28"/>
              <w:u w:val="none"/>
            </w:rPr>
            <w:tab/>
          </w:r>
          <w:r>
            <w:rPr>
              <w:sz w:val="28"/>
              <w:szCs w:val="28"/>
              <w:u w:val="none"/>
            </w:rPr>
            <w:fldChar w:fldCharType="begin"/>
          </w:r>
          <w:r>
            <w:rPr>
              <w:sz w:val="28"/>
              <w:szCs w:val="28"/>
              <w:u w:val="none"/>
            </w:rPr>
            <w:instrText xml:space="preserve"> PAGEREF _Toc29226 \h </w:instrText>
          </w:r>
          <w:r>
            <w:rPr>
              <w:sz w:val="28"/>
              <w:szCs w:val="28"/>
              <w:u w:val="none"/>
            </w:rPr>
            <w:fldChar w:fldCharType="separate"/>
          </w:r>
          <w:r>
            <w:rPr>
              <w:sz w:val="28"/>
              <w:szCs w:val="28"/>
              <w:u w:val="none"/>
            </w:rPr>
            <w:t>3</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_Toc27859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一</w:t>
          </w:r>
          <w:r>
            <w:rPr>
              <w:rFonts w:ascii="Times New Roman" w:hAnsi="Times New Roman" w:eastAsia="仿宋" w:cs="Times New Roman"/>
              <w:bCs/>
              <w:sz w:val="28"/>
              <w:szCs w:val="40"/>
              <w:highlight w:val="none"/>
              <w:u w:val="none"/>
            </w:rPr>
            <w:t>）长春市南关区生态环境准入清单</w:t>
          </w:r>
          <w:r>
            <w:rPr>
              <w:sz w:val="28"/>
              <w:szCs w:val="28"/>
              <w:u w:val="none"/>
            </w:rPr>
            <w:tab/>
          </w:r>
          <w:r>
            <w:rPr>
              <w:sz w:val="28"/>
              <w:szCs w:val="28"/>
              <w:u w:val="none"/>
            </w:rPr>
            <w:fldChar w:fldCharType="begin"/>
          </w:r>
          <w:r>
            <w:rPr>
              <w:sz w:val="28"/>
              <w:szCs w:val="28"/>
              <w:u w:val="none"/>
            </w:rPr>
            <w:instrText xml:space="preserve"> PAGEREF _Toc27859 \h </w:instrText>
          </w:r>
          <w:r>
            <w:rPr>
              <w:sz w:val="28"/>
              <w:szCs w:val="28"/>
              <w:u w:val="none"/>
            </w:rPr>
            <w:fldChar w:fldCharType="separate"/>
          </w:r>
          <w:r>
            <w:rPr>
              <w:sz w:val="28"/>
              <w:szCs w:val="28"/>
              <w:u w:val="none"/>
            </w:rPr>
            <w:t>3</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_Toc18070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二</w:t>
          </w:r>
          <w:r>
            <w:rPr>
              <w:rFonts w:ascii="Times New Roman" w:hAnsi="Times New Roman" w:eastAsia="仿宋" w:cs="Times New Roman"/>
              <w:bCs/>
              <w:sz w:val="28"/>
              <w:szCs w:val="40"/>
              <w:highlight w:val="none"/>
              <w:u w:val="none"/>
            </w:rPr>
            <w:t>）长春市宽城区生态环境准入清单</w:t>
          </w:r>
          <w:r>
            <w:rPr>
              <w:sz w:val="28"/>
              <w:szCs w:val="28"/>
              <w:u w:val="none"/>
            </w:rPr>
            <w:tab/>
          </w:r>
          <w:r>
            <w:rPr>
              <w:sz w:val="28"/>
              <w:szCs w:val="28"/>
              <w:u w:val="none"/>
            </w:rPr>
            <w:fldChar w:fldCharType="begin"/>
          </w:r>
          <w:r>
            <w:rPr>
              <w:sz w:val="28"/>
              <w:szCs w:val="28"/>
              <w:u w:val="none"/>
            </w:rPr>
            <w:instrText xml:space="preserve"> PAGEREF _Toc18070 \h </w:instrText>
          </w:r>
          <w:r>
            <w:rPr>
              <w:sz w:val="28"/>
              <w:szCs w:val="28"/>
              <w:u w:val="none"/>
            </w:rPr>
            <w:fldChar w:fldCharType="separate"/>
          </w:r>
          <w:r>
            <w:rPr>
              <w:sz w:val="28"/>
              <w:szCs w:val="28"/>
              <w:u w:val="none"/>
            </w:rPr>
            <w:t>12</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_Toc26184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三</w:t>
          </w:r>
          <w:r>
            <w:rPr>
              <w:rFonts w:ascii="Times New Roman" w:hAnsi="Times New Roman" w:eastAsia="仿宋" w:cs="Times New Roman"/>
              <w:bCs/>
              <w:sz w:val="28"/>
              <w:szCs w:val="40"/>
              <w:highlight w:val="none"/>
              <w:u w:val="none"/>
            </w:rPr>
            <w:t>）长春市朝阳区生态环境准入清单</w:t>
          </w:r>
          <w:r>
            <w:rPr>
              <w:sz w:val="28"/>
              <w:szCs w:val="28"/>
              <w:u w:val="none"/>
            </w:rPr>
            <w:tab/>
          </w:r>
          <w:r>
            <w:rPr>
              <w:sz w:val="28"/>
              <w:szCs w:val="28"/>
              <w:u w:val="none"/>
            </w:rPr>
            <w:fldChar w:fldCharType="begin"/>
          </w:r>
          <w:r>
            <w:rPr>
              <w:sz w:val="28"/>
              <w:szCs w:val="28"/>
              <w:u w:val="none"/>
            </w:rPr>
            <w:instrText xml:space="preserve"> PAGEREF _Toc26184 \h </w:instrText>
          </w:r>
          <w:r>
            <w:rPr>
              <w:sz w:val="28"/>
              <w:szCs w:val="28"/>
              <w:u w:val="none"/>
            </w:rPr>
            <w:fldChar w:fldCharType="separate"/>
          </w:r>
          <w:r>
            <w:rPr>
              <w:sz w:val="28"/>
              <w:szCs w:val="28"/>
              <w:u w:val="none"/>
            </w:rPr>
            <w:t>20</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_Toc8628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四</w:t>
          </w:r>
          <w:r>
            <w:rPr>
              <w:rFonts w:ascii="Times New Roman" w:hAnsi="Times New Roman" w:eastAsia="仿宋" w:cs="Times New Roman"/>
              <w:bCs/>
              <w:sz w:val="28"/>
              <w:szCs w:val="40"/>
              <w:highlight w:val="none"/>
              <w:u w:val="none"/>
            </w:rPr>
            <w:t>）长春市二道区生态环境准入清单</w:t>
          </w:r>
          <w:r>
            <w:rPr>
              <w:sz w:val="28"/>
              <w:szCs w:val="28"/>
              <w:u w:val="none"/>
            </w:rPr>
            <w:tab/>
          </w:r>
          <w:r>
            <w:rPr>
              <w:sz w:val="28"/>
              <w:szCs w:val="28"/>
              <w:u w:val="none"/>
            </w:rPr>
            <w:fldChar w:fldCharType="begin"/>
          </w:r>
          <w:r>
            <w:rPr>
              <w:sz w:val="28"/>
              <w:szCs w:val="28"/>
              <w:u w:val="none"/>
            </w:rPr>
            <w:instrText xml:space="preserve"> PAGEREF _Toc8628 \h </w:instrText>
          </w:r>
          <w:r>
            <w:rPr>
              <w:sz w:val="28"/>
              <w:szCs w:val="28"/>
              <w:u w:val="none"/>
            </w:rPr>
            <w:fldChar w:fldCharType="separate"/>
          </w:r>
          <w:r>
            <w:rPr>
              <w:sz w:val="28"/>
              <w:szCs w:val="28"/>
              <w:u w:val="none"/>
            </w:rPr>
            <w:t>27</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_Toc31640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五</w:t>
          </w:r>
          <w:r>
            <w:rPr>
              <w:rFonts w:ascii="Times New Roman" w:hAnsi="Times New Roman" w:eastAsia="仿宋" w:cs="Times New Roman"/>
              <w:bCs/>
              <w:sz w:val="28"/>
              <w:szCs w:val="40"/>
              <w:highlight w:val="none"/>
              <w:u w:val="none"/>
            </w:rPr>
            <w:t>）长春市绿园区生态环境准入清单</w:t>
          </w:r>
          <w:r>
            <w:rPr>
              <w:sz w:val="28"/>
              <w:szCs w:val="28"/>
              <w:u w:val="none"/>
            </w:rPr>
            <w:tab/>
          </w:r>
          <w:r>
            <w:rPr>
              <w:sz w:val="28"/>
              <w:szCs w:val="28"/>
              <w:u w:val="none"/>
            </w:rPr>
            <w:fldChar w:fldCharType="begin"/>
          </w:r>
          <w:r>
            <w:rPr>
              <w:sz w:val="28"/>
              <w:szCs w:val="28"/>
              <w:u w:val="none"/>
            </w:rPr>
            <w:instrText xml:space="preserve"> PAGEREF _Toc31640 \h </w:instrText>
          </w:r>
          <w:r>
            <w:rPr>
              <w:sz w:val="28"/>
              <w:szCs w:val="28"/>
              <w:u w:val="none"/>
            </w:rPr>
            <w:fldChar w:fldCharType="separate"/>
          </w:r>
          <w:r>
            <w:rPr>
              <w:sz w:val="28"/>
              <w:szCs w:val="28"/>
              <w:u w:val="none"/>
            </w:rPr>
            <w:t>44</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_Toc30312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六</w:t>
          </w:r>
          <w:r>
            <w:rPr>
              <w:rFonts w:ascii="Times New Roman" w:hAnsi="Times New Roman" w:eastAsia="仿宋" w:cs="Times New Roman"/>
              <w:bCs/>
              <w:sz w:val="28"/>
              <w:szCs w:val="40"/>
              <w:highlight w:val="none"/>
              <w:u w:val="none"/>
            </w:rPr>
            <w:t>）长春市双阳区生态环境准入清单</w:t>
          </w:r>
          <w:r>
            <w:rPr>
              <w:sz w:val="28"/>
              <w:szCs w:val="28"/>
              <w:u w:val="none"/>
            </w:rPr>
            <w:tab/>
          </w:r>
          <w:r>
            <w:rPr>
              <w:sz w:val="28"/>
              <w:szCs w:val="28"/>
              <w:u w:val="none"/>
            </w:rPr>
            <w:fldChar w:fldCharType="begin"/>
          </w:r>
          <w:r>
            <w:rPr>
              <w:sz w:val="28"/>
              <w:szCs w:val="28"/>
              <w:u w:val="none"/>
            </w:rPr>
            <w:instrText xml:space="preserve"> PAGEREF _Toc30312 \h </w:instrText>
          </w:r>
          <w:r>
            <w:rPr>
              <w:sz w:val="28"/>
              <w:szCs w:val="28"/>
              <w:u w:val="none"/>
            </w:rPr>
            <w:fldChar w:fldCharType="separate"/>
          </w:r>
          <w:r>
            <w:rPr>
              <w:sz w:val="28"/>
              <w:szCs w:val="28"/>
              <w:u w:val="none"/>
            </w:rPr>
            <w:t>51</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_Toc9649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七</w:t>
          </w:r>
          <w:r>
            <w:rPr>
              <w:rFonts w:ascii="Times New Roman" w:hAnsi="Times New Roman" w:eastAsia="仿宋" w:cs="Times New Roman"/>
              <w:bCs/>
              <w:sz w:val="28"/>
              <w:szCs w:val="40"/>
              <w:highlight w:val="none"/>
              <w:u w:val="none"/>
            </w:rPr>
            <w:t>）长春市九台区生态环境准入清单</w:t>
          </w:r>
          <w:r>
            <w:rPr>
              <w:sz w:val="28"/>
              <w:szCs w:val="28"/>
              <w:u w:val="none"/>
            </w:rPr>
            <w:tab/>
          </w:r>
          <w:r>
            <w:rPr>
              <w:sz w:val="28"/>
              <w:szCs w:val="28"/>
              <w:u w:val="none"/>
            </w:rPr>
            <w:fldChar w:fldCharType="begin"/>
          </w:r>
          <w:r>
            <w:rPr>
              <w:sz w:val="28"/>
              <w:szCs w:val="28"/>
              <w:u w:val="none"/>
            </w:rPr>
            <w:instrText xml:space="preserve"> PAGEREF _Toc9649 \h </w:instrText>
          </w:r>
          <w:r>
            <w:rPr>
              <w:sz w:val="28"/>
              <w:szCs w:val="28"/>
              <w:u w:val="none"/>
            </w:rPr>
            <w:fldChar w:fldCharType="separate"/>
          </w:r>
          <w:r>
            <w:rPr>
              <w:sz w:val="28"/>
              <w:szCs w:val="28"/>
              <w:u w:val="none"/>
            </w:rPr>
            <w:t>56</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_Toc19736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八</w:t>
          </w:r>
          <w:r>
            <w:rPr>
              <w:rFonts w:ascii="Times New Roman" w:hAnsi="Times New Roman" w:eastAsia="仿宋" w:cs="Times New Roman"/>
              <w:bCs/>
              <w:sz w:val="28"/>
              <w:szCs w:val="40"/>
              <w:highlight w:val="none"/>
              <w:u w:val="none"/>
            </w:rPr>
            <w:t>）长春市农安县生态环境准入清单</w:t>
          </w:r>
          <w:r>
            <w:rPr>
              <w:sz w:val="28"/>
              <w:szCs w:val="28"/>
              <w:u w:val="none"/>
            </w:rPr>
            <w:tab/>
          </w:r>
          <w:r>
            <w:rPr>
              <w:sz w:val="28"/>
              <w:szCs w:val="28"/>
              <w:u w:val="none"/>
            </w:rPr>
            <w:fldChar w:fldCharType="begin"/>
          </w:r>
          <w:r>
            <w:rPr>
              <w:sz w:val="28"/>
              <w:szCs w:val="28"/>
              <w:u w:val="none"/>
            </w:rPr>
            <w:instrText xml:space="preserve"> PAGEREF _Toc19736 \h </w:instrText>
          </w:r>
          <w:r>
            <w:rPr>
              <w:sz w:val="28"/>
              <w:szCs w:val="28"/>
              <w:u w:val="none"/>
            </w:rPr>
            <w:fldChar w:fldCharType="separate"/>
          </w:r>
          <w:r>
            <w:rPr>
              <w:sz w:val="28"/>
              <w:szCs w:val="28"/>
              <w:u w:val="none"/>
            </w:rPr>
            <w:t>68</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_Toc14800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九</w:t>
          </w:r>
          <w:r>
            <w:rPr>
              <w:rFonts w:ascii="Times New Roman" w:hAnsi="Times New Roman" w:eastAsia="仿宋" w:cs="Times New Roman"/>
              <w:bCs/>
              <w:sz w:val="28"/>
              <w:szCs w:val="40"/>
              <w:highlight w:val="none"/>
              <w:u w:val="none"/>
            </w:rPr>
            <w:t>）长春市榆树市生态环境准入清单</w:t>
          </w:r>
          <w:r>
            <w:rPr>
              <w:sz w:val="28"/>
              <w:szCs w:val="28"/>
              <w:u w:val="none"/>
            </w:rPr>
            <w:tab/>
          </w:r>
          <w:r>
            <w:rPr>
              <w:sz w:val="28"/>
              <w:szCs w:val="28"/>
              <w:u w:val="none"/>
            </w:rPr>
            <w:fldChar w:fldCharType="begin"/>
          </w:r>
          <w:r>
            <w:rPr>
              <w:sz w:val="28"/>
              <w:szCs w:val="28"/>
              <w:u w:val="none"/>
            </w:rPr>
            <w:instrText xml:space="preserve"> PAGEREF _Toc14800 \h </w:instrText>
          </w:r>
          <w:r>
            <w:rPr>
              <w:sz w:val="28"/>
              <w:szCs w:val="28"/>
              <w:u w:val="none"/>
            </w:rPr>
            <w:fldChar w:fldCharType="separate"/>
          </w:r>
          <w:r>
            <w:rPr>
              <w:sz w:val="28"/>
              <w:szCs w:val="28"/>
              <w:u w:val="none"/>
            </w:rPr>
            <w:t>75</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_Toc720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w:t>
          </w:r>
          <w:r>
            <w:rPr>
              <w:rFonts w:hint="eastAsia" w:ascii="Times New Roman" w:hAnsi="Times New Roman" w:eastAsia="仿宋" w:cs="Times New Roman"/>
              <w:bCs/>
              <w:sz w:val="28"/>
              <w:szCs w:val="40"/>
              <w:highlight w:val="none"/>
              <w:u w:val="none"/>
            </w:rPr>
            <w:t>十</w:t>
          </w:r>
          <w:r>
            <w:rPr>
              <w:rFonts w:ascii="Times New Roman" w:hAnsi="Times New Roman" w:eastAsia="仿宋" w:cs="Times New Roman"/>
              <w:bCs/>
              <w:sz w:val="28"/>
              <w:szCs w:val="40"/>
              <w:highlight w:val="none"/>
              <w:u w:val="none"/>
            </w:rPr>
            <w:t>）长春市德惠市生态环境准入清单</w:t>
          </w:r>
          <w:r>
            <w:rPr>
              <w:sz w:val="28"/>
              <w:szCs w:val="28"/>
              <w:u w:val="none"/>
            </w:rPr>
            <w:tab/>
          </w:r>
          <w:r>
            <w:rPr>
              <w:sz w:val="28"/>
              <w:szCs w:val="28"/>
              <w:u w:val="none"/>
            </w:rPr>
            <w:fldChar w:fldCharType="begin"/>
          </w:r>
          <w:r>
            <w:rPr>
              <w:sz w:val="28"/>
              <w:szCs w:val="28"/>
              <w:u w:val="none"/>
            </w:rPr>
            <w:instrText xml:space="preserve"> PAGEREF _Toc720 \h </w:instrText>
          </w:r>
          <w:r>
            <w:rPr>
              <w:sz w:val="28"/>
              <w:szCs w:val="28"/>
              <w:u w:val="none"/>
            </w:rPr>
            <w:fldChar w:fldCharType="separate"/>
          </w:r>
          <w:r>
            <w:rPr>
              <w:sz w:val="28"/>
              <w:szCs w:val="28"/>
              <w:u w:val="none"/>
            </w:rPr>
            <w:t>80</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16"/>
            <w:tabs>
              <w:tab w:val="right" w:leader="dot" w:pos="20931"/>
            </w:tabs>
            <w:rPr>
              <w:sz w:val="28"/>
              <w:szCs w:val="28"/>
              <w:u w:val="none"/>
            </w:rPr>
          </w:pPr>
          <w:r>
            <w:rPr>
              <w:rFonts w:hint="default" w:ascii="Times New Roman" w:hAnsi="Times New Roman" w:cs="Times New Roman"/>
              <w:color w:val="auto"/>
              <w:sz w:val="28"/>
              <w:szCs w:val="52"/>
              <w:highlight w:val="none"/>
              <w:u w:val="none"/>
            </w:rPr>
            <w:fldChar w:fldCharType="begin"/>
          </w:r>
          <w:r>
            <w:rPr>
              <w:rFonts w:hint="default" w:ascii="Times New Roman" w:hAnsi="Times New Roman" w:cs="Times New Roman"/>
              <w:sz w:val="28"/>
              <w:szCs w:val="52"/>
              <w:highlight w:val="none"/>
              <w:u w:val="none"/>
            </w:rPr>
            <w:instrText xml:space="preserve"> HYPERLINK \l _Toc4744 </w:instrText>
          </w:r>
          <w:r>
            <w:rPr>
              <w:rFonts w:hint="default" w:ascii="Times New Roman" w:hAnsi="Times New Roman" w:cs="Times New Roman"/>
              <w:sz w:val="28"/>
              <w:szCs w:val="52"/>
              <w:highlight w:val="none"/>
              <w:u w:val="none"/>
            </w:rPr>
            <w:fldChar w:fldCharType="separate"/>
          </w:r>
          <w:r>
            <w:rPr>
              <w:rFonts w:ascii="Times New Roman" w:hAnsi="Times New Roman" w:eastAsia="仿宋" w:cs="Times New Roman"/>
              <w:bCs/>
              <w:sz w:val="28"/>
              <w:szCs w:val="40"/>
              <w:highlight w:val="none"/>
              <w:u w:val="none"/>
            </w:rPr>
            <w:t>（十一）长春市公主岭市生态环境准入清单</w:t>
          </w:r>
          <w:r>
            <w:rPr>
              <w:sz w:val="28"/>
              <w:szCs w:val="28"/>
              <w:u w:val="none"/>
            </w:rPr>
            <w:tab/>
          </w:r>
          <w:r>
            <w:rPr>
              <w:sz w:val="28"/>
              <w:szCs w:val="28"/>
              <w:u w:val="none"/>
            </w:rPr>
            <w:fldChar w:fldCharType="begin"/>
          </w:r>
          <w:r>
            <w:rPr>
              <w:sz w:val="28"/>
              <w:szCs w:val="28"/>
              <w:u w:val="none"/>
            </w:rPr>
            <w:instrText xml:space="preserve"> PAGEREF _Toc4744 \h </w:instrText>
          </w:r>
          <w:r>
            <w:rPr>
              <w:sz w:val="28"/>
              <w:szCs w:val="28"/>
              <w:u w:val="none"/>
            </w:rPr>
            <w:fldChar w:fldCharType="separate"/>
          </w:r>
          <w:r>
            <w:rPr>
              <w:sz w:val="28"/>
              <w:szCs w:val="28"/>
              <w:u w:val="none"/>
            </w:rPr>
            <w:t>90</w:t>
          </w:r>
          <w:r>
            <w:rPr>
              <w:sz w:val="28"/>
              <w:szCs w:val="28"/>
              <w:u w:val="none"/>
            </w:rPr>
            <w:fldChar w:fldCharType="end"/>
          </w:r>
          <w:r>
            <w:rPr>
              <w:rFonts w:hint="default" w:ascii="Times New Roman" w:hAnsi="Times New Roman" w:cs="Times New Roman"/>
              <w:color w:val="auto"/>
              <w:sz w:val="28"/>
              <w:szCs w:val="52"/>
              <w:highlight w:val="none"/>
              <w:u w:val="none"/>
            </w:rPr>
            <w:fldChar w:fldCharType="end"/>
          </w:r>
        </w:p>
        <w:p>
          <w:pPr>
            <w:pStyle w:val="2"/>
            <w:spacing w:before="0" w:after="0" w:line="240" w:lineRule="auto"/>
            <w:ind w:left="0" w:leftChars="0" w:firstLine="0" w:firstLineChars="0"/>
            <w:jc w:val="center"/>
            <w:rPr>
              <w:rFonts w:hint="default" w:ascii="Times New Roman" w:hAnsi="Times New Roman" w:eastAsia="仿宋_GB2312" w:cs="Times New Roman"/>
              <w:b/>
              <w:bCs/>
              <w:color w:val="auto"/>
              <w:kern w:val="0"/>
              <w:sz w:val="24"/>
              <w:szCs w:val="24"/>
              <w:highlight w:val="none"/>
              <w:u w:val="none"/>
              <w:lang w:val="en-US" w:eastAsia="zh-CN" w:bidi="ar-SA"/>
            </w:rPr>
          </w:pPr>
          <w:r>
            <w:rPr>
              <w:rFonts w:hint="default" w:ascii="Times New Roman" w:hAnsi="Times New Roman" w:cs="Times New Roman"/>
              <w:color w:val="auto"/>
              <w:sz w:val="52"/>
              <w:szCs w:val="52"/>
              <w:highlight w:val="none"/>
              <w:u w:val="none"/>
            </w:rPr>
            <w:fldChar w:fldCharType="end"/>
          </w:r>
        </w:p>
      </w:sdtContent>
    </w:sdt>
    <w:p>
      <w:pPr>
        <w:pStyle w:val="2"/>
        <w:spacing w:before="0" w:after="0" w:line="240" w:lineRule="auto"/>
        <w:ind w:left="0" w:leftChars="0" w:firstLine="0" w:firstLineChars="0"/>
        <w:jc w:val="center"/>
        <w:rPr>
          <w:rFonts w:hint="eastAsia" w:ascii="Times New Roman" w:hAnsi="Times New Roman" w:eastAsia="仿宋_GB2312" w:cs="Times New Roman"/>
          <w:color w:val="auto"/>
          <w:sz w:val="32"/>
          <w:szCs w:val="32"/>
          <w:highlight w:val="none"/>
          <w:u w:val="none"/>
          <w:lang w:val="en-US" w:eastAsia="zh-CN"/>
        </w:rPr>
        <w:sectPr>
          <w:footerReference r:id="rId8" w:type="default"/>
          <w:pgSz w:w="23811" w:h="16838" w:orient="landscape"/>
          <w:pgMar w:top="1797" w:right="1440" w:bottom="1797" w:left="1440" w:header="851" w:footer="992" w:gutter="0"/>
          <w:pgNumType w:start="1"/>
          <w:cols w:space="425" w:num="1"/>
          <w:docGrid w:type="linesAndChars" w:linePitch="312" w:charSpace="0"/>
        </w:sectPr>
      </w:pPr>
    </w:p>
    <w:p>
      <w:pPr>
        <w:pStyle w:val="2"/>
        <w:spacing w:before="0" w:after="0" w:line="240" w:lineRule="auto"/>
        <w:ind w:left="0" w:leftChars="0" w:firstLine="0" w:firstLineChars="0"/>
        <w:jc w:val="center"/>
        <w:rPr>
          <w:rFonts w:hint="eastAsia" w:ascii="Times New Roman" w:hAnsi="Times New Roman" w:eastAsia="仿宋_GB2312" w:cs="Times New Roman"/>
          <w:color w:val="auto"/>
          <w:sz w:val="32"/>
          <w:szCs w:val="32"/>
          <w:highlight w:val="none"/>
          <w:u w:val="none"/>
          <w:lang w:val="en-US" w:eastAsia="zh-CN"/>
        </w:rPr>
      </w:pPr>
      <w:bookmarkStart w:id="2" w:name="_Toc31751"/>
      <w:r>
        <w:rPr>
          <w:rFonts w:hint="eastAsia" w:ascii="Times New Roman" w:hAnsi="Times New Roman" w:eastAsia="仿宋_GB2312" w:cs="Times New Roman"/>
          <w:color w:val="auto"/>
          <w:sz w:val="32"/>
          <w:szCs w:val="32"/>
          <w:highlight w:val="none"/>
          <w:u w:val="none"/>
          <w:lang w:val="en-US" w:eastAsia="zh-CN"/>
        </w:rPr>
        <w:t>说  明</w:t>
      </w:r>
      <w:bookmarkEnd w:id="0"/>
      <w:bookmarkEnd w:id="2"/>
    </w:p>
    <w:p>
      <w:pPr>
        <w:ind w:firstLine="560"/>
        <w:rPr>
          <w:rFonts w:hint="default" w:ascii="Times New Roman" w:hAnsi="Times New Roman" w:eastAsia="仿宋" w:cs="Times New Roman"/>
          <w:color w:val="auto"/>
          <w:sz w:val="28"/>
          <w:szCs w:val="24"/>
          <w:highlight w:val="none"/>
          <w:u w:val="none"/>
          <w:lang w:val="en-US" w:eastAsia="zh-CN"/>
        </w:rPr>
      </w:pP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rPr>
        <w:t>生态环境准入清单</w:t>
      </w:r>
      <w:r>
        <w:rPr>
          <w:rFonts w:hint="eastAsia" w:ascii="Times New Roman" w:hAnsi="Times New Roman" w:eastAsia="仿宋" w:cs="Times New Roman"/>
          <w:color w:val="auto"/>
          <w:sz w:val="28"/>
          <w:szCs w:val="24"/>
          <w:highlight w:val="none"/>
          <w:u w:val="none"/>
          <w:lang w:val="en-US" w:eastAsia="zh-CN"/>
        </w:rPr>
        <w:t>的编制</w:t>
      </w:r>
      <w:r>
        <w:rPr>
          <w:rFonts w:hint="default" w:ascii="Times New Roman" w:hAnsi="Times New Roman" w:eastAsia="仿宋" w:cs="Times New Roman"/>
          <w:color w:val="auto"/>
          <w:sz w:val="28"/>
          <w:szCs w:val="24"/>
          <w:highlight w:val="none"/>
          <w:u w:val="none"/>
        </w:rPr>
        <w:t>以生态环境分区管控技术指南、技术要求为指引，根据各类管控单元、各类管控要求的共性和差异，规范清单内容、表达方式和成果</w:t>
      </w:r>
      <w:r>
        <w:rPr>
          <w:rFonts w:hint="default" w:ascii="Times New Roman" w:hAnsi="Times New Roman" w:eastAsia="仿宋" w:cs="Times New Roman"/>
          <w:color w:val="auto"/>
          <w:sz w:val="28"/>
          <w:szCs w:val="24"/>
          <w:highlight w:val="none"/>
          <w:u w:val="none"/>
          <w:lang w:val="en-US" w:eastAsia="zh-CN"/>
        </w:rPr>
        <w:t>格式</w:t>
      </w:r>
      <w:r>
        <w:rPr>
          <w:rFonts w:hint="eastAsia" w:ascii="Times New Roman" w:hAnsi="Times New Roman" w:eastAsia="仿宋" w:cs="Times New Roman"/>
          <w:color w:val="auto"/>
          <w:sz w:val="28"/>
          <w:szCs w:val="24"/>
          <w:highlight w:val="none"/>
          <w:u w:val="none"/>
          <w:lang w:val="en-US" w:eastAsia="zh-CN"/>
        </w:rPr>
        <w:t>；</w:t>
      </w:r>
      <w:r>
        <w:rPr>
          <w:rFonts w:hint="default" w:ascii="Times New Roman" w:hAnsi="Times New Roman" w:eastAsia="仿宋" w:cs="Times New Roman"/>
          <w:color w:val="auto"/>
          <w:sz w:val="28"/>
          <w:szCs w:val="24"/>
          <w:highlight w:val="none"/>
          <w:u w:val="none"/>
          <w:lang w:val="en-US" w:eastAsia="zh-CN"/>
        </w:rPr>
        <w:t>以环境管控单元为载体，以维护生态环境功能、改善生态环境质量为导向，着力解决不同区域的突出环境问题，集成“三线”工作成果，衔接既有环境管理要求，对各类环境管控单元分别提出针对性的管控要求</w:t>
      </w:r>
      <w:r>
        <w:rPr>
          <w:rFonts w:hint="eastAsia" w:ascii="Times New Roman" w:hAnsi="Times New Roman" w:eastAsia="仿宋" w:cs="Times New Roman"/>
          <w:color w:val="auto"/>
          <w:sz w:val="28"/>
          <w:szCs w:val="24"/>
          <w:highlight w:val="none"/>
          <w:u w:val="none"/>
          <w:lang w:val="en-US" w:eastAsia="zh-CN"/>
        </w:rPr>
        <w:t>；并</w:t>
      </w:r>
      <w:r>
        <w:rPr>
          <w:rFonts w:hint="default" w:ascii="Times New Roman" w:hAnsi="Times New Roman" w:eastAsia="仿宋" w:cs="Times New Roman"/>
          <w:color w:val="auto"/>
          <w:sz w:val="28"/>
          <w:szCs w:val="24"/>
          <w:highlight w:val="none"/>
          <w:u w:val="none"/>
          <w:lang w:val="en-US" w:eastAsia="zh-CN"/>
        </w:rPr>
        <w:t>与</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lang w:val="en-US" w:eastAsia="zh-CN"/>
        </w:rPr>
        <w:t>各县（区）各有关部门深度对接，充分考虑不同区域资源禀赋、环境容量、发展基础和发展意愿，衔接不同领域、不同部门的管理要求，确保管控要求适用、实用、管用。</w:t>
      </w:r>
    </w:p>
    <w:p>
      <w:pPr>
        <w:widowControl w:val="0"/>
        <w:ind w:firstLine="560" w:firstLineChars="200"/>
        <w:rPr>
          <w:rFonts w:hint="eastAsia" w:ascii="Times New Roman" w:hAnsi="Times New Roman" w:eastAsia="仿宋" w:cs="Times New Roman"/>
          <w:color w:val="auto"/>
          <w:sz w:val="28"/>
          <w:szCs w:val="24"/>
          <w:highlight w:val="none"/>
          <w:u w:val="none"/>
          <w:lang w:eastAsia="zh-CN"/>
        </w:rPr>
      </w:pP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rPr>
        <w:t>生态环境准入清单分四个层级</w:t>
      </w:r>
      <w:r>
        <w:rPr>
          <w:rFonts w:hint="eastAsia" w:ascii="Times New Roman" w:hAnsi="Times New Roman" w:eastAsia="仿宋" w:cs="Times New Roman"/>
          <w:color w:val="auto"/>
          <w:sz w:val="28"/>
          <w:szCs w:val="24"/>
          <w:highlight w:val="none"/>
          <w:u w:val="none"/>
          <w:lang w:eastAsia="zh-CN"/>
        </w:rPr>
        <w:t>：</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第一层级为吉林省总体准入要求。包括空间布局约束、污染物排放控制、环境风险管控、资源开发效率要求四个维度，无需再分解到各个单元，全省均按此执行。</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lang w:eastAsia="zh-CN"/>
        </w:rPr>
        <w:t>第二层级为</w:t>
      </w:r>
      <w:r>
        <w:rPr>
          <w:rFonts w:hint="eastAsia" w:ascii="Times New Roman" w:hAnsi="Times New Roman" w:eastAsia="仿宋" w:cs="Times New Roman"/>
          <w:color w:val="auto"/>
          <w:sz w:val="28"/>
          <w:szCs w:val="24"/>
          <w:highlight w:val="none"/>
          <w:u w:val="none"/>
          <w:lang w:val="en-US" w:eastAsia="zh-CN"/>
        </w:rPr>
        <w:t>重点</w:t>
      </w:r>
      <w:r>
        <w:rPr>
          <w:rFonts w:hint="default" w:ascii="Times New Roman" w:hAnsi="Times New Roman" w:eastAsia="仿宋" w:cs="Times New Roman"/>
          <w:color w:val="auto"/>
          <w:sz w:val="28"/>
          <w:szCs w:val="24"/>
          <w:highlight w:val="none"/>
          <w:u w:val="none"/>
          <w:lang w:eastAsia="zh-CN"/>
        </w:rPr>
        <w:t>流域总体准入要求</w:t>
      </w:r>
      <w:r>
        <w:rPr>
          <w:rFonts w:hint="default" w:ascii="Times New Roman" w:hAnsi="Times New Roman" w:eastAsia="仿宋" w:cs="Times New Roman"/>
          <w:color w:val="auto"/>
          <w:sz w:val="28"/>
          <w:szCs w:val="24"/>
          <w:highlight w:val="none"/>
          <w:u w:val="none"/>
        </w:rPr>
        <w:t>。包括空间布局约束、污染物排放控制、环境风险管控、资源开发效率要求四个维度。</w:t>
      </w:r>
      <w:r>
        <w:rPr>
          <w:rFonts w:hint="eastAsia" w:ascii="Times New Roman" w:hAnsi="Times New Roman" w:eastAsia="仿宋" w:cs="Times New Roman"/>
          <w:color w:val="auto"/>
          <w:sz w:val="28"/>
          <w:szCs w:val="24"/>
          <w:highlight w:val="none"/>
          <w:u w:val="none"/>
        </w:rPr>
        <w:t>重点流域包括松花江流域和辽河流域，分别按照各自总体要求执行。</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第三层级为</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rPr>
        <w:t>总体准入要求。结合</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rPr>
        <w:t>区域特征，衔接</w:t>
      </w:r>
      <w:r>
        <w:rPr>
          <w:rFonts w:hint="default" w:ascii="Times New Roman" w:hAnsi="Times New Roman" w:eastAsia="仿宋" w:cs="Times New Roman"/>
          <w:color w:val="auto"/>
          <w:sz w:val="28"/>
          <w:szCs w:val="24"/>
          <w:highlight w:val="none"/>
          <w:u w:val="none"/>
          <w:lang w:eastAsia="zh-CN"/>
        </w:rPr>
        <w:t>《</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lang w:eastAsia="zh-CN"/>
        </w:rPr>
        <w:t>生态环境保护“十四五”规划》</w:t>
      </w:r>
      <w:r>
        <w:rPr>
          <w:rFonts w:hint="default" w:ascii="Times New Roman" w:hAnsi="Times New Roman" w:eastAsia="仿宋" w:cs="Times New Roman"/>
          <w:color w:val="auto"/>
          <w:sz w:val="28"/>
          <w:szCs w:val="24"/>
          <w:highlight w:val="none"/>
          <w:u w:val="none"/>
          <w:lang w:val="en-US" w:eastAsia="zh-CN"/>
        </w:rPr>
        <w:t>《</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lang w:val="en-US" w:eastAsia="zh-CN"/>
        </w:rPr>
        <w:t>“十四五”重点流域水生态环境保护规划》</w:t>
      </w:r>
      <w:r>
        <w:rPr>
          <w:rFonts w:hint="default" w:ascii="Times New Roman" w:hAnsi="Times New Roman" w:eastAsia="仿宋" w:cs="Times New Roman"/>
          <w:color w:val="auto"/>
          <w:sz w:val="28"/>
          <w:szCs w:val="24"/>
          <w:highlight w:val="none"/>
          <w:u w:val="none"/>
          <w:lang w:eastAsia="zh-CN"/>
        </w:rPr>
        <w:t>《</w:t>
      </w:r>
      <w:r>
        <w:rPr>
          <w:rFonts w:hint="eastAsia" w:ascii="Times New Roman" w:hAnsi="Times New Roman" w:eastAsia="仿宋" w:cs="Times New Roman"/>
          <w:color w:val="auto"/>
          <w:sz w:val="28"/>
          <w:szCs w:val="24"/>
          <w:highlight w:val="none"/>
          <w:u w:val="none"/>
          <w:lang w:eastAsia="zh-CN"/>
        </w:rPr>
        <w:t>长春市</w:t>
      </w:r>
      <w:r>
        <w:rPr>
          <w:rFonts w:hint="default" w:ascii="Times New Roman" w:hAnsi="Times New Roman" w:eastAsia="仿宋" w:cs="Times New Roman"/>
          <w:color w:val="auto"/>
          <w:sz w:val="28"/>
          <w:szCs w:val="24"/>
          <w:highlight w:val="none"/>
          <w:u w:val="none"/>
          <w:lang w:eastAsia="zh-CN"/>
        </w:rPr>
        <w:t>国土空间总体规划（2021-2035年）》《</w:t>
      </w:r>
      <w:r>
        <w:rPr>
          <w:rFonts w:hint="eastAsia" w:ascii="Times New Roman" w:hAnsi="Times New Roman" w:eastAsia="仿宋" w:cs="Times New Roman"/>
          <w:color w:val="auto"/>
          <w:sz w:val="28"/>
          <w:szCs w:val="24"/>
          <w:highlight w:val="none"/>
          <w:u w:val="none"/>
          <w:lang w:eastAsia="zh-CN"/>
        </w:rPr>
        <w:t>长春市</w:t>
      </w:r>
      <w:r>
        <w:rPr>
          <w:rFonts w:hint="default" w:ascii="Times New Roman" w:hAnsi="Times New Roman" w:eastAsia="仿宋" w:cs="Times New Roman"/>
          <w:color w:val="auto"/>
          <w:sz w:val="28"/>
          <w:szCs w:val="24"/>
          <w:highlight w:val="none"/>
          <w:u w:val="none"/>
          <w:lang w:eastAsia="zh-CN"/>
        </w:rPr>
        <w:t>国民经济和社会发展第十四个五年规划和二〇三五年远景目标纲要》</w:t>
      </w:r>
      <w:r>
        <w:rPr>
          <w:rFonts w:hint="default" w:ascii="Times New Roman" w:hAnsi="Times New Roman" w:eastAsia="仿宋" w:cs="Times New Roman"/>
          <w:color w:val="auto"/>
          <w:sz w:val="28"/>
          <w:szCs w:val="24"/>
          <w:highlight w:val="none"/>
          <w:u w:val="none"/>
          <w:lang w:val="en-US" w:eastAsia="zh-CN"/>
        </w:rPr>
        <w:t>等最新的</w:t>
      </w:r>
      <w:r>
        <w:rPr>
          <w:rFonts w:hint="default" w:ascii="Times New Roman" w:hAnsi="Times New Roman" w:eastAsia="仿宋" w:cs="Times New Roman"/>
          <w:color w:val="auto"/>
          <w:sz w:val="28"/>
          <w:szCs w:val="24"/>
          <w:highlight w:val="none"/>
          <w:u w:val="none"/>
        </w:rPr>
        <w:t>法律法规、规划计划、规划环评等，并结合实际管理需求，</w:t>
      </w:r>
      <w:r>
        <w:rPr>
          <w:rFonts w:hint="eastAsia" w:ascii="Times New Roman" w:hAnsi="Times New Roman" w:eastAsia="仿宋" w:cs="Times New Roman"/>
          <w:color w:val="auto"/>
          <w:sz w:val="28"/>
          <w:szCs w:val="24"/>
          <w:highlight w:val="none"/>
          <w:u w:val="none"/>
          <w:lang w:eastAsia="zh-CN"/>
        </w:rPr>
        <w:t>对四个维度做必要的细化和调整</w:t>
      </w:r>
      <w:r>
        <w:rPr>
          <w:rFonts w:hint="default" w:ascii="Times New Roman" w:hAnsi="Times New Roman" w:eastAsia="仿宋" w:cs="Times New Roman"/>
          <w:color w:val="auto"/>
          <w:sz w:val="28"/>
          <w:szCs w:val="24"/>
          <w:highlight w:val="none"/>
          <w:u w:val="none"/>
        </w:rPr>
        <w:t>。</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第四层级为</w:t>
      </w:r>
      <w:r>
        <w:rPr>
          <w:rFonts w:hint="eastAsia" w:ascii="Times New Roman" w:hAnsi="Times New Roman" w:eastAsia="仿宋" w:cs="Times New Roman"/>
          <w:color w:val="auto"/>
          <w:sz w:val="28"/>
          <w:szCs w:val="24"/>
          <w:highlight w:val="none"/>
          <w:u w:val="none"/>
          <w:lang w:val="en-US" w:eastAsia="zh-CN"/>
        </w:rPr>
        <w:t>长春市</w:t>
      </w:r>
      <w:r>
        <w:rPr>
          <w:rFonts w:hint="default" w:ascii="Times New Roman" w:hAnsi="Times New Roman" w:eastAsia="仿宋" w:cs="Times New Roman"/>
          <w:color w:val="auto"/>
          <w:sz w:val="28"/>
          <w:szCs w:val="24"/>
          <w:highlight w:val="none"/>
          <w:u w:val="none"/>
          <w:lang w:val="en-US" w:eastAsia="zh-CN"/>
        </w:rPr>
        <w:t>各县区</w:t>
      </w:r>
      <w:r>
        <w:rPr>
          <w:rFonts w:hint="default" w:ascii="Times New Roman" w:hAnsi="Times New Roman" w:eastAsia="仿宋" w:cs="Times New Roman"/>
          <w:color w:val="auto"/>
          <w:sz w:val="28"/>
          <w:szCs w:val="24"/>
          <w:highlight w:val="none"/>
          <w:u w:val="none"/>
        </w:rPr>
        <w:t>环境管控单元准入清单。根据生态环境分区管控编制技术指南和技术要求，优先保护单元仅包括空间布局约束一个维度的管控要求，重点管控单元和一般管控单元根据单元特点包括一或多个维度的管控要求。各维度管控内容如下：</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空间布局约束：着重从禁止的开发建设活动、限制的开发建设活动、空间布局要求等方面提出。</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污染物排放管控：着重从新增源等量或倍量替代、现有源排放削减、排放标准加严等方面提出。</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环境风险防控：着重从农用地风险防控、建设用地风险防控、园区环境风险防控等方面提出。</w:t>
      </w:r>
    </w:p>
    <w:p>
      <w:pPr>
        <w:widowControl w:val="0"/>
        <w:ind w:firstLine="560" w:firstLineChars="200"/>
        <w:rPr>
          <w:rFonts w:hint="default" w:ascii="Times New Roman" w:hAnsi="Times New Roman" w:eastAsia="仿宋" w:cs="Times New Roman"/>
          <w:color w:val="auto"/>
          <w:sz w:val="28"/>
          <w:szCs w:val="24"/>
          <w:highlight w:val="none"/>
          <w:u w:val="none"/>
        </w:rPr>
      </w:pPr>
      <w:r>
        <w:rPr>
          <w:rFonts w:hint="default" w:ascii="Times New Roman" w:hAnsi="Times New Roman" w:eastAsia="仿宋" w:cs="Times New Roman"/>
          <w:color w:val="auto"/>
          <w:sz w:val="28"/>
          <w:szCs w:val="24"/>
          <w:highlight w:val="none"/>
          <w:u w:val="none"/>
        </w:rPr>
        <w:t>资源开发效率：着重从水资源开发利用效率、地下水开采禁止或者限制要求，土地资源集约利用要求，能源利用效率、高污染燃料禁燃区要求等方面提出。</w:t>
      </w:r>
    </w:p>
    <w:p>
      <w:pPr>
        <w:pStyle w:val="142"/>
        <w:ind w:left="0" w:leftChars="0" w:firstLine="0" w:firstLineChars="0"/>
        <w:rPr>
          <w:rFonts w:hint="default" w:ascii="Times New Roman" w:hAnsi="Times New Roman" w:cs="Times New Roman"/>
          <w:color w:val="auto"/>
          <w:highlight w:val="none"/>
          <w:u w:val="none"/>
        </w:rPr>
        <w:sectPr>
          <w:pgSz w:w="23811" w:h="16838" w:orient="landscape"/>
          <w:pgMar w:top="1797" w:right="1440" w:bottom="1797" w:left="1440" w:header="851" w:footer="992" w:gutter="0"/>
          <w:pgNumType w:start="1"/>
          <w:cols w:space="425" w:num="1"/>
          <w:docGrid w:type="linesAndChars" w:linePitch="312" w:charSpace="0"/>
        </w:sectPr>
      </w:pPr>
    </w:p>
    <w:p>
      <w:pPr>
        <w:pStyle w:val="2"/>
        <w:spacing w:before="0" w:after="0" w:line="240" w:lineRule="auto"/>
        <w:rPr>
          <w:rFonts w:ascii="Times New Roman" w:hAnsi="Times New Roman" w:eastAsia="仿宋" w:cs="Times New Roman"/>
          <w:color w:val="auto"/>
          <w:sz w:val="32"/>
          <w:szCs w:val="32"/>
          <w:highlight w:val="none"/>
          <w:u w:val="none"/>
        </w:rPr>
      </w:pPr>
      <w:bookmarkStart w:id="3" w:name="_Toc9597"/>
      <w:r>
        <w:rPr>
          <w:rFonts w:ascii="Times New Roman" w:hAnsi="Times New Roman" w:eastAsia="仿宋" w:cs="Times New Roman"/>
          <w:color w:val="auto"/>
          <w:sz w:val="32"/>
          <w:szCs w:val="32"/>
          <w:highlight w:val="none"/>
          <w:u w:val="none"/>
        </w:rPr>
        <w:t>一、</w:t>
      </w:r>
      <w:r>
        <w:rPr>
          <w:rFonts w:hint="eastAsia" w:ascii="Times New Roman" w:hAnsi="Times New Roman" w:eastAsia="仿宋" w:cs="Times New Roman"/>
          <w:color w:val="auto"/>
          <w:sz w:val="32"/>
          <w:szCs w:val="32"/>
          <w:highlight w:val="none"/>
          <w:u w:val="none"/>
          <w:lang w:val="en-US" w:eastAsia="zh-CN"/>
        </w:rPr>
        <w:t>长春市</w:t>
      </w:r>
      <w:r>
        <w:rPr>
          <w:rFonts w:ascii="Times New Roman" w:hAnsi="Times New Roman" w:eastAsia="仿宋" w:cs="Times New Roman"/>
          <w:color w:val="auto"/>
          <w:sz w:val="32"/>
          <w:szCs w:val="32"/>
          <w:highlight w:val="none"/>
          <w:u w:val="none"/>
        </w:rPr>
        <w:t>总体准入要求</w:t>
      </w:r>
      <w:bookmarkEnd w:id="1"/>
      <w:bookmarkEnd w:id="3"/>
    </w:p>
    <w:p>
      <w:pPr>
        <w:jc w:val="center"/>
        <w:rPr>
          <w:rFonts w:ascii="Times New Roman" w:hAnsi="Times New Roman" w:eastAsia="仿宋" w:cs="Times New Roman"/>
          <w:b/>
          <w:color w:val="auto"/>
          <w:highlight w:val="none"/>
          <w:u w:val="none"/>
        </w:rPr>
      </w:pPr>
      <w:r>
        <w:rPr>
          <w:rFonts w:ascii="Times New Roman" w:hAnsi="Times New Roman" w:eastAsia="仿宋" w:cs="Times New Roman"/>
          <w:b/>
          <w:color w:val="auto"/>
          <w:highlight w:val="none"/>
          <w:u w:val="none"/>
        </w:rPr>
        <w:t xml:space="preserve">表1-1 </w:t>
      </w:r>
      <w:r>
        <w:rPr>
          <w:rFonts w:hint="eastAsia" w:ascii="Times New Roman" w:hAnsi="Times New Roman" w:eastAsia="仿宋" w:cs="Times New Roman"/>
          <w:b/>
          <w:color w:val="auto"/>
          <w:highlight w:val="none"/>
          <w:u w:val="none"/>
          <w:lang w:val="en-US" w:eastAsia="zh-CN"/>
        </w:rPr>
        <w:t>长春市</w:t>
      </w:r>
      <w:r>
        <w:rPr>
          <w:rFonts w:ascii="Times New Roman" w:hAnsi="Times New Roman" w:eastAsia="仿宋" w:cs="Times New Roman"/>
          <w:b/>
          <w:color w:val="auto"/>
          <w:highlight w:val="none"/>
          <w:u w:val="none"/>
        </w:rPr>
        <w:t>总体准入要求</w:t>
      </w:r>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color w:val="auto"/>
                <w:szCs w:val="21"/>
                <w:highlight w:val="none"/>
                <w:u w:val="none"/>
              </w:rPr>
            </w:pPr>
            <w:r>
              <w:rPr>
                <w:rFonts w:ascii="Times New Roman" w:hAnsi="Times New Roman" w:eastAsia="仿宋" w:cs="Times New Roman"/>
                <w:b/>
                <w:color w:val="auto"/>
                <w:szCs w:val="21"/>
                <w:highlight w:val="none"/>
                <w:u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color w:val="auto"/>
                <w:szCs w:val="21"/>
                <w:highlight w:val="none"/>
                <w:u w:val="none"/>
              </w:rPr>
            </w:pPr>
            <w:r>
              <w:rPr>
                <w:rFonts w:ascii="Times New Roman" w:hAnsi="Times New Roman" w:eastAsia="仿宋" w:cs="Times New Roman"/>
                <w:b/>
                <w:color w:val="auto"/>
                <w:szCs w:val="21"/>
                <w:highlight w:val="none"/>
                <w:u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Align w:val="center"/>
          </w:tcPr>
          <w:p>
            <w:pPr>
              <w:spacing w:before="0" w:after="0" w:line="240" w:lineRule="auto"/>
              <w:ind w:firstLine="0"/>
              <w:jc w:val="center"/>
              <w:rPr>
                <w:rFonts w:ascii="Times New Roman" w:hAnsi="Times New Roman" w:eastAsia="仿宋" w:cs="Times New Roman"/>
                <w:b/>
                <w:color w:val="auto"/>
                <w:highlight w:val="none"/>
                <w:u w:val="none"/>
              </w:rPr>
            </w:pPr>
            <w:r>
              <w:rPr>
                <w:rFonts w:ascii="Times New Roman" w:hAnsi="Times New Roman" w:eastAsia="仿宋" w:cs="Times New Roman"/>
                <w:b/>
                <w:color w:val="auto"/>
                <w:highlight w:val="none"/>
                <w:u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功能布局总体按照“西产业、东生态、中服务”布局思路。西部依托汽开区、高新南区等平台，建设世界级汽车产业基地；依托绿园经济开发区、宽城装备制造产业开发区等平台，建设世界级轨道客车产业基地；依托北湖科技园、亚泰医药产业园、兴隆综保区、二道国际物流经济开发区等平台，建设中国智能装备制造中心和世界级农产品加工产业基地，并构建现代物流体系，承载世界级先进制造业尖峰区和东北亚国际物流中心职能。依托城市东部的大黑山脉，形成中国北方地区最优美的近郊复合生态功能带。中部沿城市中央的人民大街、伊通河、远达大街复合发展轴，集中发展现代金融、信息技术、科技创新、文化艺术等综合服务功能，打造东北亚国际商务服务中心、东北亚科技创新与转化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5"/>
              <w:spacing w:before="0" w:after="0" w:line="240" w:lineRule="auto"/>
              <w:ind w:firstLine="0"/>
              <w:jc w:val="center"/>
              <w:rPr>
                <w:rFonts w:ascii="Times New Roman"/>
                <w:b/>
                <w:color w:val="auto"/>
                <w:spacing w:val="-5"/>
                <w:sz w:val="22"/>
                <w:szCs w:val="22"/>
                <w:highlight w:val="none"/>
                <w:u w:val="none"/>
              </w:rPr>
            </w:pPr>
            <w:r>
              <w:rPr>
                <w:rFonts w:ascii="Times New Roman"/>
                <w:b/>
                <w:color w:val="auto"/>
                <w:spacing w:val="-5"/>
                <w:sz w:val="22"/>
                <w:szCs w:val="22"/>
                <w:highlight w:val="none"/>
                <w:u w:val="none"/>
              </w:rPr>
              <w:t>污染物</w:t>
            </w:r>
          </w:p>
          <w:p>
            <w:pPr>
              <w:spacing w:before="0" w:after="0" w:line="240" w:lineRule="auto"/>
              <w:ind w:firstLine="0"/>
              <w:jc w:val="center"/>
              <w:rPr>
                <w:rFonts w:ascii="Times New Roman" w:hAnsi="Times New Roman" w:eastAsia="仿宋" w:cs="Times New Roman"/>
                <w:color w:val="auto"/>
                <w:highlight w:val="none"/>
                <w:u w:val="none"/>
              </w:rPr>
            </w:pPr>
            <w:r>
              <w:rPr>
                <w:rFonts w:ascii="Times New Roman" w:hAnsi="Times New Roman" w:eastAsia="仿宋" w:cs="Times New Roman"/>
                <w:b/>
                <w:color w:val="auto"/>
                <w:spacing w:val="-5"/>
                <w:highlight w:val="none"/>
                <w:u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环境</w:t>
            </w:r>
          </w:p>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质量目标</w:t>
            </w:r>
          </w:p>
        </w:tc>
        <w:tc>
          <w:tcPr>
            <w:tcW w:w="4251" w:type="pct"/>
            <w:vAlign w:val="center"/>
          </w:tcPr>
          <w:p>
            <w:pPr>
              <w:spacing w:before="0" w:after="0" w:line="240" w:lineRule="auto"/>
              <w:ind w:firstLine="0"/>
              <w:jc w:val="left"/>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大气环境质量持续改善。2025年全市PM</w:t>
            </w:r>
            <w:r>
              <w:rPr>
                <w:rFonts w:ascii="Times New Roman" w:hAnsi="Times New Roman" w:eastAsia="仿宋" w:cs="Times New Roman"/>
                <w:color w:val="auto"/>
                <w:szCs w:val="21"/>
                <w:highlight w:val="none"/>
                <w:u w:val="none"/>
                <w:vertAlign w:val="subscript"/>
              </w:rPr>
              <w:t>2.5</w:t>
            </w:r>
            <w:r>
              <w:rPr>
                <w:rFonts w:ascii="Times New Roman" w:hAnsi="Times New Roman" w:eastAsia="仿宋" w:cs="Times New Roman"/>
                <w:color w:val="auto"/>
                <w:szCs w:val="21"/>
                <w:highlight w:val="none"/>
                <w:u w:val="none"/>
              </w:rPr>
              <w:t>年均浓度达到30微克/立方米，优良天数比例达到90%；2035年继续改善（沙尘影响不计入）。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5"/>
              <w:spacing w:before="120" w:after="120" w:line="360" w:lineRule="exact"/>
              <w:ind w:firstLine="482"/>
              <w:jc w:val="center"/>
              <w:rPr>
                <w:rFonts w:ascii="Times New Roman"/>
                <w:b/>
                <w:color w:val="auto"/>
                <w:spacing w:val="-5"/>
                <w:sz w:val="22"/>
                <w:szCs w:val="22"/>
                <w:highlight w:val="none"/>
                <w:u w:val="none"/>
              </w:rPr>
            </w:pPr>
          </w:p>
        </w:tc>
        <w:tc>
          <w:tcPr>
            <w:tcW w:w="374" w:type="pct"/>
            <w:vMerge w:val="continue"/>
            <w:vAlign w:val="center"/>
          </w:tcPr>
          <w:p>
            <w:pPr>
              <w:spacing w:before="120" w:after="120" w:line="360" w:lineRule="exact"/>
              <w:ind w:firstLine="482"/>
              <w:rPr>
                <w:rFonts w:ascii="Times New Roman" w:hAnsi="Times New Roman" w:eastAsia="仿宋" w:cs="Times New Roman"/>
                <w:color w:val="auto"/>
                <w:szCs w:val="21"/>
                <w:highlight w:val="none"/>
                <w:u w:val="none"/>
              </w:rPr>
            </w:pP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水环境质量持续改善。2025年，全市水生态环境质量全面改善，劣</w:t>
            </w:r>
            <w:r>
              <w:rPr>
                <w:rFonts w:hint="eastAsia" w:ascii="宋体" w:hAnsi="宋体" w:eastAsia="宋体" w:cs="宋体"/>
                <w:color w:val="auto"/>
                <w:szCs w:val="21"/>
                <w:highlight w:val="none"/>
                <w:u w:val="none"/>
              </w:rPr>
              <w:t>Ⅴ</w:t>
            </w:r>
            <w:r>
              <w:rPr>
                <w:rFonts w:ascii="Times New Roman" w:hAnsi="Times New Roman" w:eastAsia="仿宋" w:cs="Times New Roman"/>
                <w:color w:val="auto"/>
                <w:szCs w:val="21"/>
                <w:highlight w:val="none"/>
                <w:u w:val="none"/>
              </w:rPr>
              <w:t>类水体全面消除，地表水国控断面达到或好于</w:t>
            </w:r>
            <w:r>
              <w:rPr>
                <w:rFonts w:hint="eastAsia" w:ascii="Times New Roman" w:hAnsi="Times New Roman" w:eastAsia="仿宋" w:cs="Times New Roman"/>
                <w:color w:val="auto"/>
                <w:szCs w:val="21"/>
                <w:highlight w:val="none"/>
                <w:u w:val="none"/>
              </w:rPr>
              <w:t>Ⅲ</w:t>
            </w:r>
            <w:r>
              <w:rPr>
                <w:rFonts w:ascii="Times New Roman" w:hAnsi="Times New Roman" w:eastAsia="仿宋" w:cs="Times New Roman"/>
                <w:color w:val="auto"/>
                <w:szCs w:val="21"/>
                <w:highlight w:val="none"/>
                <w:u w:val="none"/>
              </w:rPr>
              <w:t>类水体比例达到</w:t>
            </w:r>
            <w:r>
              <w:rPr>
                <w:rFonts w:hint="eastAsia" w:ascii="仿宋_GB2312" w:hAnsi="仿宋_GB2312" w:eastAsia="仿宋_GB2312" w:cs="仿宋_GB2312"/>
                <w:color w:val="auto"/>
                <w:szCs w:val="21"/>
                <w:highlight w:val="none"/>
                <w:u w:val="none"/>
                <w:lang w:val="en-US" w:eastAsia="zh-CN"/>
              </w:rPr>
              <w:t>50</w:t>
            </w:r>
            <w:r>
              <w:rPr>
                <w:rFonts w:hint="eastAsia" w:ascii="仿宋_GB2312" w:hAnsi="仿宋_GB2312" w:eastAsia="仿宋_GB2312" w:cs="仿宋_GB2312"/>
                <w:color w:val="auto"/>
                <w:szCs w:val="21"/>
                <w:highlight w:val="none"/>
                <w:u w:val="none"/>
              </w:rPr>
              <w:t>%</w:t>
            </w:r>
            <w:r>
              <w:rPr>
                <w:rFonts w:ascii="Times New Roman" w:hAnsi="Times New Roman" w:eastAsia="仿宋" w:cs="Times New Roman"/>
                <w:color w:val="auto"/>
                <w:szCs w:val="21"/>
                <w:highlight w:val="none"/>
                <w:u w:val="none"/>
              </w:rPr>
              <w:t>，河流生态水量得到基本保障，生态环境质量实现根本好转，水生态系统功能初步恢复。2035年，全市水生态环境质量在满足水生态功能区要求外，河流生态水量得到根本保障，水生态系统功能全面改善。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continue"/>
            <w:vAlign w:val="center"/>
          </w:tcPr>
          <w:p>
            <w:pPr>
              <w:pStyle w:val="195"/>
              <w:spacing w:before="120" w:after="120" w:line="360" w:lineRule="exact"/>
              <w:ind w:firstLine="482"/>
              <w:jc w:val="center"/>
              <w:rPr>
                <w:rFonts w:ascii="Times New Roman"/>
                <w:b/>
                <w:color w:val="auto"/>
                <w:spacing w:val="-5"/>
                <w:sz w:val="22"/>
                <w:szCs w:val="22"/>
                <w:highlight w:val="none"/>
                <w:u w:val="none"/>
              </w:rPr>
            </w:pPr>
          </w:p>
        </w:tc>
        <w:tc>
          <w:tcPr>
            <w:tcW w:w="374" w:type="pct"/>
            <w:vMerge w:val="restart"/>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污染物</w:t>
            </w:r>
          </w:p>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控制要求</w:t>
            </w: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实施20蒸吨以上燃煤锅炉升级改造，推动秸秆禁烧和综合利用。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74" w:type="pct"/>
            <w:vMerge w:val="continue"/>
            <w:vAlign w:val="center"/>
          </w:tcPr>
          <w:p>
            <w:pPr>
              <w:spacing w:before="120" w:after="120" w:line="360" w:lineRule="exact"/>
              <w:ind w:firstLine="482"/>
              <w:rPr>
                <w:rFonts w:ascii="Times New Roman" w:hAnsi="Times New Roman" w:eastAsia="仿宋" w:cs="Times New Roman"/>
                <w:color w:val="auto"/>
                <w:highlight w:val="none"/>
                <w:u w:val="none"/>
              </w:rPr>
            </w:pPr>
          </w:p>
        </w:tc>
        <w:tc>
          <w:tcPr>
            <w:tcW w:w="374" w:type="pct"/>
            <w:vMerge w:val="continue"/>
            <w:vAlign w:val="center"/>
          </w:tcPr>
          <w:p>
            <w:pPr>
              <w:spacing w:before="0" w:after="0" w:line="240" w:lineRule="auto"/>
              <w:ind w:firstLine="0"/>
              <w:jc w:val="left"/>
              <w:rPr>
                <w:rFonts w:ascii="Times New Roman" w:hAnsi="Times New Roman" w:eastAsia="仿宋" w:cs="Times New Roman"/>
                <w:color w:val="auto"/>
                <w:szCs w:val="21"/>
                <w:highlight w:val="none"/>
                <w:u w:val="none"/>
              </w:rPr>
            </w:pPr>
          </w:p>
        </w:tc>
        <w:tc>
          <w:tcPr>
            <w:tcW w:w="4251" w:type="pct"/>
            <w:vAlign w:val="center"/>
          </w:tcPr>
          <w:p>
            <w:pPr>
              <w:spacing w:before="0" w:after="0" w:line="240" w:lineRule="auto"/>
              <w:ind w:firstLine="0"/>
              <w:jc w:val="left"/>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全面推行清洁生产，加强重点企业清洁生产审核，推进重点行业改造生产流程。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spacing w:before="120" w:after="120" w:line="360" w:lineRule="exact"/>
              <w:ind w:firstLine="482"/>
              <w:rPr>
                <w:rFonts w:ascii="Times New Roman" w:hAnsi="Times New Roman" w:eastAsia="仿宋" w:cs="Times New Roman"/>
                <w:color w:val="auto"/>
                <w:highlight w:val="none"/>
                <w:u w:val="none"/>
              </w:rPr>
            </w:pPr>
          </w:p>
        </w:tc>
        <w:tc>
          <w:tcPr>
            <w:tcW w:w="374" w:type="pct"/>
            <w:vMerge w:val="continue"/>
            <w:vAlign w:val="center"/>
          </w:tcPr>
          <w:p>
            <w:pPr>
              <w:spacing w:before="0" w:after="0" w:line="240" w:lineRule="auto"/>
              <w:ind w:firstLine="482"/>
              <w:rPr>
                <w:rFonts w:ascii="Times New Roman" w:hAnsi="Times New Roman" w:eastAsia="仿宋" w:cs="Times New Roman"/>
                <w:color w:val="auto"/>
                <w:szCs w:val="21"/>
                <w:highlight w:val="none"/>
                <w:u w:val="none"/>
              </w:rPr>
            </w:pP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加快产业园区绿色化循环化改造，建设绿色低碳的交通网络、建筑体系和工业体系，从源头减少能耗、物耗和污染物排放。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restart"/>
            <w:vAlign w:val="center"/>
          </w:tcPr>
          <w:p>
            <w:pPr>
              <w:spacing w:before="0" w:after="0" w:line="240" w:lineRule="auto"/>
              <w:ind w:firstLine="0"/>
              <w:jc w:val="center"/>
              <w:rPr>
                <w:rFonts w:ascii="Times New Roman" w:hAnsi="Times New Roman" w:eastAsia="仿宋" w:cs="Times New Roman"/>
                <w:color w:val="auto"/>
                <w:highlight w:val="none"/>
                <w:u w:val="none"/>
              </w:rPr>
            </w:pPr>
            <w:r>
              <w:rPr>
                <w:rFonts w:ascii="Times New Roman" w:hAnsi="Times New Roman" w:eastAsia="仿宋" w:cs="Times New Roman"/>
                <w:b/>
                <w:color w:val="auto"/>
                <w:highlight w:val="none"/>
                <w:u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2025年用水量控制在30.20亿立方米内，2035年用水量控制在34.5亿立方米。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pPr>
              <w:spacing w:before="0" w:after="0" w:line="240" w:lineRule="auto"/>
              <w:ind w:firstLine="482"/>
              <w:rPr>
                <w:rFonts w:ascii="Times New Roman" w:hAnsi="Times New Roman" w:eastAsia="仿宋" w:cs="Times New Roman"/>
                <w:color w:val="auto"/>
                <w:szCs w:val="21"/>
                <w:highlight w:val="none"/>
                <w:u w:val="none"/>
              </w:rPr>
            </w:pPr>
          </w:p>
        </w:tc>
        <w:tc>
          <w:tcPr>
            <w:tcW w:w="374" w:type="pct"/>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土地资源</w:t>
            </w: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2025年耕地保有量不低于17858.88平方千米；永久基本农田保护面积不低于14766.90平方千米；</w:t>
            </w:r>
            <w:r>
              <w:rPr>
                <w:rFonts w:hint="default" w:ascii="Times New Roman" w:hAnsi="Times New Roman" w:eastAsia="仿宋" w:cs="Times New Roman"/>
                <w:bCs/>
                <w:color w:val="auto"/>
                <w:kern w:val="0"/>
                <w:sz w:val="21"/>
                <w:szCs w:val="21"/>
                <w:highlight w:val="none"/>
                <w:u w:val="none"/>
                <w:lang w:val="en-US" w:eastAsia="zh-CN" w:bidi="ar-SA"/>
              </w:rPr>
              <w:t>城镇开发边界扩展倍数控制在2020年城镇建设用地规模的1.32倍以内</w:t>
            </w:r>
            <w:r>
              <w:rPr>
                <w:rFonts w:hint="eastAsia" w:ascii="Times New Roman" w:hAnsi="Times New Roman" w:eastAsia="仿宋" w:cs="Times New Roman"/>
                <w:bCs/>
                <w:color w:val="auto"/>
                <w:kern w:val="0"/>
                <w:sz w:val="21"/>
                <w:szCs w:val="21"/>
                <w:highlight w:val="none"/>
                <w:u w:val="none"/>
                <w:lang w:val="en-US" w:eastAsia="zh-CN" w:bidi="ar-SA"/>
              </w:rPr>
              <w:t>，面积</w:t>
            </w:r>
            <w:r>
              <w:rPr>
                <w:rFonts w:hint="default" w:ascii="Times New Roman" w:hAnsi="Times New Roman" w:eastAsia="仿宋" w:cs="Times New Roman"/>
                <w:bCs/>
                <w:color w:val="auto"/>
                <w:kern w:val="0"/>
                <w:sz w:val="21"/>
                <w:szCs w:val="21"/>
                <w:highlight w:val="none"/>
                <w:u w:val="none"/>
                <w:lang w:val="en-US" w:eastAsia="zh-CN" w:bidi="ar-SA"/>
              </w:rPr>
              <w:t>控制在</w:t>
            </w:r>
            <w:r>
              <w:rPr>
                <w:rFonts w:ascii="Times New Roman" w:hAnsi="Times New Roman" w:eastAsia="仿宋" w:cs="Times New Roman"/>
                <w:color w:val="auto"/>
                <w:szCs w:val="21"/>
                <w:highlight w:val="none"/>
                <w:u w:val="none"/>
              </w:rPr>
              <w:t>1475.54</w:t>
            </w:r>
            <w:r>
              <w:rPr>
                <w:rFonts w:hint="default" w:ascii="Times New Roman" w:hAnsi="Times New Roman" w:eastAsia="仿宋" w:cs="Times New Roman"/>
                <w:bCs/>
                <w:color w:val="auto"/>
                <w:kern w:val="0"/>
                <w:sz w:val="21"/>
                <w:szCs w:val="21"/>
                <w:highlight w:val="none"/>
                <w:u w:val="none"/>
                <w:lang w:val="en-US" w:eastAsia="zh-CN" w:bidi="ar-SA"/>
              </w:rPr>
              <w:t>平方千米以内</w:t>
            </w:r>
            <w:r>
              <w:rPr>
                <w:rFonts w:ascii="Times New Roman" w:hAnsi="Times New Roman" w:eastAsia="仿宋" w:cs="Times New Roman"/>
                <w:color w:val="auto"/>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color w:val="auto"/>
                <w:szCs w:val="21"/>
                <w:highlight w:val="none"/>
                <w:u w:val="none"/>
              </w:rPr>
            </w:pPr>
          </w:p>
        </w:tc>
        <w:tc>
          <w:tcPr>
            <w:tcW w:w="374" w:type="pct"/>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能源</w:t>
            </w: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2025年，煤炭消费总量控制在2711万吨以内。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0"/>
              <w:rPr>
                <w:rFonts w:ascii="Times New Roman" w:hAnsi="Times New Roman" w:eastAsia="仿宋" w:cs="Times New Roman"/>
                <w:color w:val="auto"/>
                <w:szCs w:val="21"/>
                <w:highlight w:val="none"/>
                <w:u w:val="none"/>
              </w:rPr>
            </w:pPr>
          </w:p>
        </w:tc>
        <w:tc>
          <w:tcPr>
            <w:tcW w:w="374" w:type="pct"/>
            <w:vAlign w:val="center"/>
          </w:tcPr>
          <w:p>
            <w:pPr>
              <w:spacing w:before="0" w:after="0" w:line="240" w:lineRule="auto"/>
              <w:ind w:firstLine="0"/>
              <w:jc w:val="center"/>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其他</w:t>
            </w:r>
          </w:p>
        </w:tc>
        <w:tc>
          <w:tcPr>
            <w:tcW w:w="4251"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探索构建统一高效的环境产品交易体系，积极推进排污权、用水权、碳排放交易，激发各类市场主体绿色发展内生动力。健全充分反映资源稀缺程度的用水、用电价格，体现环境损害成本的污水、垃圾处理价格，将生态环境成本纳入经济运行成本。推行生活垃圾分类。构建线上线下融合的废旧资源回收和循环利用体系，扩大生产者责任延伸制范围，动态更新产品回收名录，提高废旧资源再生利用水平。提高工业固体废物综合利用水平。发展循环经济。全面建立资源高效利用制度机制，健全资源节约集约循环利用政策体系，积极推进循环经济产业园建设。发展节能环保产业，提升节能环保技术、现代装备和服务水平。积极开发新能源和可再生能源，建立温室气体排放检测制度，构建以循环经济为主体的生态产业体系，培育以低碳为特征的循环经济增长点。</w:t>
            </w:r>
          </w:p>
        </w:tc>
      </w:tr>
    </w:tbl>
    <w:p>
      <w:pPr>
        <w:jc w:val="center"/>
        <w:rPr>
          <w:rFonts w:ascii="Times New Roman" w:hAnsi="Times New Roman" w:eastAsia="仿宋" w:cs="Times New Roman"/>
          <w:b/>
          <w:color w:val="auto"/>
          <w:highlight w:val="none"/>
          <w:u w:val="none"/>
        </w:rPr>
      </w:pPr>
    </w:p>
    <w:p>
      <w:pPr>
        <w:jc w:val="left"/>
        <w:rPr>
          <w:rFonts w:ascii="Times New Roman" w:hAnsi="Times New Roman" w:eastAsia="仿宋" w:cs="Times New Roman"/>
          <w:color w:val="auto"/>
          <w:highlight w:val="none"/>
          <w:u w:val="none"/>
        </w:rPr>
        <w:sectPr>
          <w:footerReference r:id="rId9" w:type="default"/>
          <w:pgSz w:w="23811" w:h="16838" w:orient="landscape"/>
          <w:pgMar w:top="1797" w:right="1440" w:bottom="1797" w:left="1440" w:header="851" w:footer="992" w:gutter="0"/>
          <w:pgNumType w:fmt="decimal" w:start="1"/>
          <w:cols w:space="425" w:num="1"/>
          <w:docGrid w:type="linesAndChars" w:linePitch="312" w:charSpace="0"/>
        </w:sectPr>
      </w:pPr>
    </w:p>
    <w:p>
      <w:pPr>
        <w:pStyle w:val="2"/>
        <w:spacing w:before="0" w:after="0" w:line="240" w:lineRule="auto"/>
        <w:rPr>
          <w:rFonts w:ascii="Times New Roman" w:hAnsi="Times New Roman" w:eastAsia="仿宋" w:cs="Times New Roman"/>
          <w:color w:val="auto"/>
          <w:sz w:val="32"/>
          <w:szCs w:val="32"/>
          <w:highlight w:val="none"/>
          <w:u w:val="none"/>
        </w:rPr>
      </w:pPr>
      <w:bookmarkStart w:id="4" w:name="_Toc14809"/>
      <w:bookmarkStart w:id="5" w:name="_Toc1231"/>
      <w:r>
        <w:rPr>
          <w:rFonts w:ascii="Times New Roman" w:hAnsi="Times New Roman" w:eastAsia="仿宋" w:cs="Times New Roman"/>
          <w:color w:val="auto"/>
          <w:sz w:val="32"/>
          <w:szCs w:val="32"/>
          <w:highlight w:val="none"/>
          <w:u w:val="none"/>
        </w:rPr>
        <w:t>二、重点流域总体准入要求</w:t>
      </w:r>
      <w:bookmarkEnd w:id="4"/>
      <w:bookmarkEnd w:id="5"/>
    </w:p>
    <w:p>
      <w:pPr>
        <w:jc w:val="center"/>
        <w:rPr>
          <w:rFonts w:ascii="Times New Roman" w:hAnsi="Times New Roman" w:eastAsia="仿宋" w:cs="Times New Roman"/>
          <w:b/>
          <w:color w:val="auto"/>
          <w:highlight w:val="none"/>
          <w:u w:val="none"/>
        </w:rPr>
      </w:pPr>
      <w:bookmarkStart w:id="6" w:name="_Toc24556860"/>
      <w:r>
        <w:rPr>
          <w:rFonts w:ascii="Times New Roman" w:hAnsi="Times New Roman" w:eastAsia="仿宋" w:cs="Times New Roman"/>
          <w:b/>
          <w:color w:val="auto"/>
          <w:highlight w:val="none"/>
          <w:u w:val="none"/>
        </w:rPr>
        <w:t>表2-</w:t>
      </w:r>
      <w:r>
        <w:rPr>
          <w:rFonts w:hint="eastAsia" w:ascii="Times New Roman" w:hAnsi="Times New Roman" w:eastAsia="仿宋" w:cs="Times New Roman"/>
          <w:b/>
          <w:color w:val="auto"/>
          <w:highlight w:val="none"/>
          <w:u w:val="none"/>
        </w:rPr>
        <w:t>1</w:t>
      </w:r>
      <w:r>
        <w:rPr>
          <w:rFonts w:ascii="Times New Roman" w:hAnsi="Times New Roman" w:eastAsia="仿宋" w:cs="Times New Roman"/>
          <w:b/>
          <w:color w:val="auto"/>
          <w:highlight w:val="none"/>
          <w:u w:val="none"/>
        </w:rPr>
        <w:t xml:space="preserve"> 重点流域总体准入要求</w:t>
      </w:r>
      <w:bookmarkEnd w:id="6"/>
    </w:p>
    <w:tbl>
      <w:tblPr>
        <w:tblStyle w:val="1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8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jc w:val="center"/>
        </w:trPr>
        <w:tc>
          <w:tcPr>
            <w:tcW w:w="604" w:type="pct"/>
            <w:vAlign w:val="center"/>
          </w:tcPr>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管控领域</w:t>
            </w:r>
          </w:p>
        </w:tc>
        <w:tc>
          <w:tcPr>
            <w:tcW w:w="4395" w:type="pct"/>
            <w:vAlign w:val="center"/>
          </w:tcPr>
          <w:p>
            <w:pPr>
              <w:pStyle w:val="195"/>
              <w:spacing w:before="0" w:after="0" w:line="240" w:lineRule="auto"/>
              <w:ind w:firstLine="0"/>
              <w:jc w:val="center"/>
              <w:rPr>
                <w:rFonts w:ascii="Times New Roman"/>
                <w:color w:val="auto"/>
                <w:highlight w:val="none"/>
                <w:u w:val="none"/>
              </w:rPr>
            </w:pPr>
            <w:r>
              <w:rPr>
                <w:rFonts w:ascii="Times New Roman"/>
                <w:b/>
                <w:color w:val="auto"/>
                <w:spacing w:val="-5"/>
                <w:highlight w:val="none"/>
                <w:u w:val="none"/>
              </w:rPr>
              <w:t>环境准入及管控要求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00" w:type="pct"/>
            <w:gridSpan w:val="2"/>
            <w:vAlign w:val="center"/>
          </w:tcPr>
          <w:p>
            <w:pPr>
              <w:pStyle w:val="195"/>
              <w:spacing w:before="0" w:after="0" w:line="240" w:lineRule="auto"/>
              <w:ind w:firstLine="482"/>
              <w:jc w:val="center"/>
              <w:rPr>
                <w:rFonts w:ascii="Times New Roman"/>
                <w:b/>
                <w:color w:val="auto"/>
                <w:spacing w:val="-5"/>
                <w:highlight w:val="none"/>
                <w:u w:val="none"/>
              </w:rPr>
            </w:pPr>
            <w:r>
              <w:rPr>
                <w:rFonts w:ascii="Times New Roman"/>
                <w:b/>
                <w:bCs w:val="0"/>
                <w:color w:val="auto"/>
                <w:highlight w:val="none"/>
                <w:u w:val="none"/>
              </w:rPr>
              <w:t>一、松花江流域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vMerge w:val="restart"/>
            <w:vAlign w:val="center"/>
          </w:tcPr>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空间布局</w:t>
            </w:r>
          </w:p>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约束</w:t>
            </w: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合理规划松花江干流沿岸的石油加工、化学原料和化学制品制造、医药制造、化学纤维制造、有色金属冶炼、制浆造纸、纺织印染等产业发展。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饮马河、伊通河等重点支流及</w:t>
            </w:r>
            <w:r>
              <w:rPr>
                <w:rFonts w:hint="eastAsia" w:ascii="Times New Roman"/>
                <w:color w:val="auto"/>
                <w:highlight w:val="none"/>
                <w:u w:val="none"/>
                <w:lang w:val="en-US" w:eastAsia="zh-CN"/>
              </w:rPr>
              <w:t>湖泊</w:t>
            </w:r>
            <w:r>
              <w:rPr>
                <w:rFonts w:ascii="Times New Roman"/>
                <w:color w:val="auto"/>
                <w:highlight w:val="none"/>
                <w:u w:val="none"/>
              </w:rPr>
              <w:t>等重要湿地要实施生态修复、合理建设生态隔离带。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4" w:type="pct"/>
            <w:vMerge w:val="restart"/>
            <w:vAlign w:val="center"/>
          </w:tcPr>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污染物</w:t>
            </w:r>
          </w:p>
          <w:p>
            <w:pPr>
              <w:pStyle w:val="195"/>
              <w:spacing w:before="0" w:after="0" w:line="240" w:lineRule="auto"/>
              <w:ind w:firstLine="0"/>
              <w:jc w:val="center"/>
              <w:rPr>
                <w:rFonts w:ascii="Times New Roman"/>
                <w:color w:val="auto"/>
                <w:highlight w:val="none"/>
                <w:u w:val="none"/>
              </w:rPr>
            </w:pPr>
            <w:r>
              <w:rPr>
                <w:rFonts w:ascii="Times New Roman"/>
                <w:b/>
                <w:color w:val="auto"/>
                <w:spacing w:val="-5"/>
                <w:highlight w:val="none"/>
                <w:u w:val="none"/>
              </w:rPr>
              <w:t>排放管控</w:t>
            </w:r>
          </w:p>
        </w:tc>
        <w:tc>
          <w:tcPr>
            <w:tcW w:w="4395" w:type="pct"/>
            <w:vAlign w:val="center"/>
          </w:tcPr>
          <w:p>
            <w:pPr>
              <w:pStyle w:val="195"/>
              <w:spacing w:before="0" w:after="0" w:line="240" w:lineRule="auto"/>
              <w:ind w:firstLine="0"/>
              <w:rPr>
                <w:rFonts w:ascii="Times New Roman"/>
                <w:color w:val="auto"/>
                <w:highlight w:val="none"/>
                <w:u w:val="none"/>
              </w:rPr>
            </w:pPr>
            <w:r>
              <w:rPr>
                <w:rFonts w:hint="eastAsia" w:ascii="仿宋_GB2312" w:hAnsi="仿宋_GB2312" w:eastAsia="仿宋_GB2312" w:cs="仿宋_GB2312"/>
                <w:bCs w:val="0"/>
                <w:color w:val="auto"/>
                <w:highlight w:val="none"/>
                <w:u w:val="none"/>
              </w:rPr>
              <w:t>严格执行《吉林省松花江流域水污染防治条例》</w:t>
            </w:r>
            <w:r>
              <w:rPr>
                <w:rFonts w:hint="eastAsia" w:ascii="仿宋_GB2312" w:hAnsi="仿宋_GB2312" w:eastAsia="仿宋_GB2312" w:cs="仿宋_GB2312"/>
                <w:color w:val="auto"/>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推进城镇污水处理设施及配套管网建设与改造，加快实施雨污分流。现有污水处理厂要适时进行扩容和建设再生水利用工程，因地制宜建设人工湿地尾水净化工程。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加快推进乡镇和农村生活污水处理设施建设，推进农村生活污水治理。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加快入江（河、湖、库）排污口规范化建设，严控入江、河、湖、库污染源。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严格控制农业面源污染，推广测土配方施肥和高效、低毒、低残留农药等减量控害技术和统防统治</w:t>
            </w:r>
            <w:r>
              <w:rPr>
                <w:rFonts w:hint="eastAsia" w:ascii="Times New Roman"/>
                <w:color w:val="auto"/>
                <w:highlight w:val="none"/>
                <w:u w:val="none"/>
              </w:rPr>
              <w:t>，</w:t>
            </w:r>
            <w:r>
              <w:rPr>
                <w:rFonts w:ascii="Times New Roman"/>
                <w:color w:val="auto"/>
                <w:highlight w:val="none"/>
                <w:u w:val="none"/>
              </w:rPr>
              <w:t>控制化肥和农药使用量。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加大</w:t>
            </w:r>
            <w:r>
              <w:rPr>
                <w:rFonts w:hint="eastAsia" w:ascii="Times New Roman"/>
                <w:color w:val="auto"/>
                <w:highlight w:val="none"/>
                <w:u w:val="none"/>
                <w:lang w:val="en-US" w:eastAsia="zh-CN"/>
              </w:rPr>
              <w:t>湖泊</w:t>
            </w:r>
            <w:r>
              <w:rPr>
                <w:rFonts w:ascii="Times New Roman"/>
                <w:color w:val="auto"/>
                <w:highlight w:val="none"/>
                <w:u w:val="none"/>
              </w:rPr>
              <w:t>农田退水污染防治，推进生态护岸和湖滨生态隔离保护带建设，形成岸上、水面和水下</w:t>
            </w:r>
            <w:r>
              <w:rPr>
                <w:rFonts w:hint="eastAsia" w:ascii="Times New Roman"/>
                <w:color w:val="auto"/>
                <w:highlight w:val="none"/>
                <w:u w:val="none"/>
              </w:rPr>
              <w:t>“</w:t>
            </w:r>
            <w:r>
              <w:rPr>
                <w:rFonts w:ascii="Times New Roman"/>
                <w:color w:val="auto"/>
                <w:highlight w:val="none"/>
                <w:u w:val="none"/>
              </w:rPr>
              <w:t>立体防护网</w:t>
            </w:r>
            <w:r>
              <w:rPr>
                <w:rFonts w:hint="eastAsia" w:ascii="Times New Roman"/>
                <w:color w:val="auto"/>
                <w:highlight w:val="none"/>
                <w:u w:val="none"/>
              </w:rPr>
              <w:t>”</w:t>
            </w:r>
            <w:r>
              <w:rPr>
                <w:rFonts w:ascii="Times New Roman"/>
                <w:color w:val="auto"/>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开展规模化养殖场标准</w:t>
            </w:r>
            <w:r>
              <w:rPr>
                <w:rFonts w:hint="eastAsia" w:ascii="Times New Roman"/>
                <w:color w:val="auto"/>
                <w:highlight w:val="none"/>
                <w:u w:val="none"/>
              </w:rPr>
              <w:t>化</w:t>
            </w:r>
            <w:r>
              <w:rPr>
                <w:rFonts w:ascii="Times New Roman"/>
                <w:color w:val="auto"/>
                <w:highlight w:val="none"/>
                <w:u w:val="none"/>
              </w:rPr>
              <w:t>建设，防治畜禽养殖污染。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04" w:type="pct"/>
            <w:vMerge w:val="restart"/>
            <w:vAlign w:val="center"/>
          </w:tcPr>
          <w:p>
            <w:pPr>
              <w:pStyle w:val="195"/>
              <w:spacing w:before="0" w:after="0" w:line="240" w:lineRule="auto"/>
              <w:ind w:firstLine="0"/>
              <w:jc w:val="center"/>
              <w:rPr>
                <w:rFonts w:ascii="Times New Roman"/>
                <w:color w:val="auto"/>
                <w:highlight w:val="none"/>
                <w:u w:val="none"/>
              </w:rPr>
            </w:pPr>
            <w:r>
              <w:rPr>
                <w:rFonts w:ascii="Times New Roman"/>
                <w:b/>
                <w:color w:val="auto"/>
                <w:highlight w:val="none"/>
                <w:u w:val="none"/>
              </w:rPr>
              <w:t>环境风险防控</w:t>
            </w:r>
          </w:p>
        </w:tc>
        <w:tc>
          <w:tcPr>
            <w:tcW w:w="4395" w:type="pct"/>
            <w:vAlign w:val="center"/>
          </w:tcPr>
          <w:p>
            <w:pPr>
              <w:widowControl/>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防范沿江环境风险，优化松花江干流和饮马河、伊通河等重点江河</w:t>
            </w:r>
            <w:r>
              <w:rPr>
                <w:rFonts w:hint="eastAsia" w:ascii="Times New Roman" w:hAnsi="Times New Roman" w:eastAsia="仿宋" w:cs="Times New Roman"/>
                <w:color w:val="auto"/>
                <w:szCs w:val="21"/>
                <w:highlight w:val="none"/>
                <w:u w:val="none"/>
              </w:rPr>
              <w:t>沿岸</w:t>
            </w:r>
            <w:r>
              <w:rPr>
                <w:rFonts w:ascii="Times New Roman" w:hAnsi="Times New Roman" w:eastAsia="仿宋" w:cs="Times New Roman"/>
                <w:color w:val="auto"/>
                <w:szCs w:val="21"/>
                <w:highlight w:val="none"/>
                <w:u w:val="none"/>
              </w:rPr>
              <w:t>现有石油化工、制药、尾矿库等高风险行业空间布局，合理布局生产装置及危险化学品仓储等设施</w:t>
            </w:r>
            <w:r>
              <w:rPr>
                <w:rFonts w:hint="eastAsia" w:ascii="Times New Roman" w:hAnsi="Times New Roman" w:eastAsia="仿宋" w:cs="Times New Roman"/>
                <w:color w:val="auto"/>
                <w:szCs w:val="21"/>
                <w:highlight w:val="none"/>
                <w:u w:val="none"/>
              </w:rPr>
              <w:t>，</w:t>
            </w:r>
            <w:r>
              <w:rPr>
                <w:rFonts w:ascii="Times New Roman" w:hAnsi="Times New Roman" w:eastAsia="仿宋" w:cs="Times New Roman"/>
                <w:color w:val="auto"/>
                <w:szCs w:val="21"/>
                <w:highlight w:val="none"/>
                <w:u w:val="none"/>
              </w:rPr>
              <w:t>做好突发水污染事件的风险防控。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加强饮用水水源地环境风险管控，完善风险防控与应急能力建设和相关管理措施，保证饮用水水源水质达标和安全。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04" w:type="pct"/>
            <w:vMerge w:val="restart"/>
            <w:vAlign w:val="center"/>
          </w:tcPr>
          <w:p>
            <w:pPr>
              <w:pStyle w:val="195"/>
              <w:spacing w:before="120" w:after="120" w:line="360" w:lineRule="exact"/>
              <w:ind w:firstLine="0"/>
              <w:jc w:val="center"/>
              <w:rPr>
                <w:rFonts w:ascii="Times New Roman"/>
                <w:b/>
                <w:color w:val="auto"/>
                <w:highlight w:val="none"/>
                <w:u w:val="none"/>
              </w:rPr>
            </w:pPr>
            <w:r>
              <w:rPr>
                <w:rFonts w:ascii="Times New Roman"/>
                <w:b/>
                <w:color w:val="auto"/>
                <w:highlight w:val="none"/>
                <w:u w:val="none"/>
              </w:rPr>
              <w:t>资源利用要求</w:t>
            </w:r>
          </w:p>
        </w:tc>
        <w:tc>
          <w:tcPr>
            <w:tcW w:w="4395" w:type="pct"/>
            <w:vAlign w:val="center"/>
          </w:tcPr>
          <w:p>
            <w:pPr>
              <w:pStyle w:val="195"/>
              <w:spacing w:before="0" w:after="0" w:line="240" w:lineRule="auto"/>
              <w:ind w:firstLine="0"/>
              <w:contextualSpacing/>
              <w:rPr>
                <w:rFonts w:ascii="Times New Roman"/>
                <w:color w:val="auto"/>
                <w:highlight w:val="none"/>
                <w:u w:val="none"/>
              </w:rPr>
            </w:pPr>
            <w:r>
              <w:rPr>
                <w:rFonts w:ascii="Times New Roman"/>
                <w:color w:val="auto"/>
                <w:highlight w:val="none"/>
                <w:u w:val="none"/>
              </w:rPr>
              <w:t>引导推动造纸、石油化工、玉米深加工等高耗水行业企业实施节水改造和污水深度处理回用</w:t>
            </w:r>
            <w:r>
              <w:rPr>
                <w:rFonts w:hint="eastAsia" w:ascii="Times New Roman"/>
                <w:color w:val="auto"/>
                <w:highlight w:val="none"/>
                <w:u w:val="none"/>
              </w:rPr>
              <w:t>，</w:t>
            </w:r>
            <w:r>
              <w:rPr>
                <w:rFonts w:ascii="Times New Roman"/>
                <w:color w:val="auto"/>
                <w:highlight w:val="none"/>
                <w:u w:val="none"/>
              </w:rPr>
              <w:t>建设节水型企业。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pStyle w:val="195"/>
              <w:spacing w:before="0" w:after="0" w:line="240" w:lineRule="auto"/>
              <w:ind w:firstLine="0"/>
              <w:contextualSpacing/>
              <w:rPr>
                <w:rFonts w:ascii="Times New Roman"/>
                <w:color w:val="auto"/>
                <w:highlight w:val="none"/>
                <w:u w:val="none"/>
              </w:rPr>
            </w:pPr>
            <w:r>
              <w:rPr>
                <w:rFonts w:ascii="Times New Roman"/>
                <w:color w:val="auto"/>
                <w:highlight w:val="none"/>
                <w:u w:val="none"/>
              </w:rPr>
              <w:t>统筹流域来水、水利工程与任务，</w:t>
            </w:r>
            <w:r>
              <w:rPr>
                <w:rFonts w:hint="eastAsia" w:ascii="Times New Roman"/>
                <w:color w:val="auto"/>
                <w:highlight w:val="none"/>
                <w:u w:val="none"/>
                <w:lang w:eastAsia="zh-CN"/>
              </w:rPr>
              <w:t>因地制宜</w:t>
            </w:r>
            <w:r>
              <w:rPr>
                <w:rFonts w:ascii="Times New Roman"/>
                <w:color w:val="auto"/>
                <w:highlight w:val="none"/>
                <w:u w:val="none"/>
              </w:rPr>
              <w:t>实施生态补水。按照流域生态流量调控方案，统筹调控新立城、石头口门水库及</w:t>
            </w:r>
            <w:r>
              <w:rPr>
                <w:rFonts w:hint="eastAsia" w:ascii="Times New Roman"/>
                <w:color w:val="auto"/>
                <w:highlight w:val="none"/>
                <w:u w:val="none"/>
                <w:lang w:val="en-US" w:eastAsia="zh-CN"/>
              </w:rPr>
              <w:t>河流</w:t>
            </w:r>
            <w:r>
              <w:rPr>
                <w:rFonts w:ascii="Times New Roman"/>
                <w:color w:val="auto"/>
                <w:highlight w:val="none"/>
                <w:u w:val="none"/>
              </w:rPr>
              <w:t>上游蓄水、引水等水利工程供水能力和供水任务，保障饮马河、伊通河等重点河流生态流量。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pStyle w:val="195"/>
              <w:spacing w:before="0" w:after="0" w:line="240" w:lineRule="auto"/>
              <w:ind w:firstLine="0"/>
              <w:contextualSpacing/>
              <w:rPr>
                <w:rFonts w:ascii="Times New Roman"/>
                <w:color w:val="auto"/>
                <w:highlight w:val="none"/>
                <w:u w:val="none"/>
              </w:rPr>
            </w:pPr>
            <w:r>
              <w:rPr>
                <w:rFonts w:ascii="Times New Roman"/>
                <w:color w:val="auto"/>
                <w:highlight w:val="none"/>
                <w:u w:val="none"/>
              </w:rPr>
              <w:t>落实最严格水资源管理制度</w:t>
            </w:r>
            <w:r>
              <w:rPr>
                <w:rFonts w:hint="eastAsia" w:ascii="Times New Roman"/>
                <w:color w:val="auto"/>
                <w:highlight w:val="none"/>
                <w:u w:val="none"/>
              </w:rPr>
              <w:t>，</w:t>
            </w:r>
            <w:r>
              <w:rPr>
                <w:rFonts w:ascii="Times New Roman"/>
                <w:color w:val="auto"/>
                <w:highlight w:val="none"/>
                <w:u w:val="none"/>
              </w:rPr>
              <w:t>严控河湖水资源开发强度。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00" w:type="pct"/>
            <w:gridSpan w:val="2"/>
            <w:vAlign w:val="center"/>
          </w:tcPr>
          <w:p>
            <w:pPr>
              <w:pStyle w:val="195"/>
              <w:spacing w:before="0" w:after="0" w:line="240" w:lineRule="auto"/>
              <w:ind w:firstLine="482"/>
              <w:jc w:val="center"/>
              <w:rPr>
                <w:rFonts w:ascii="Times New Roman"/>
                <w:b/>
                <w:color w:val="auto"/>
                <w:spacing w:val="-5"/>
                <w:highlight w:val="none"/>
                <w:u w:val="none"/>
              </w:rPr>
            </w:pPr>
            <w:r>
              <w:rPr>
                <w:rFonts w:ascii="Times New Roman"/>
                <w:b/>
                <w:bCs w:val="0"/>
                <w:color w:val="auto"/>
                <w:highlight w:val="none"/>
                <w:u w:val="none"/>
              </w:rPr>
              <w:t>二、</w:t>
            </w:r>
            <w:r>
              <w:rPr>
                <w:rFonts w:ascii="Times New Roman"/>
                <w:b/>
                <w:color w:val="auto"/>
                <w:highlight w:val="none"/>
                <w:u w:val="none"/>
              </w:rPr>
              <w:t>辽河流域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restart"/>
            <w:vAlign w:val="center"/>
          </w:tcPr>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空间布局</w:t>
            </w:r>
          </w:p>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约束</w:t>
            </w: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限制或禁止发展高耗水产业</w:t>
            </w:r>
            <w:r>
              <w:rPr>
                <w:rFonts w:hint="eastAsia" w:ascii="Times New Roman"/>
                <w:color w:val="auto"/>
                <w:highlight w:val="none"/>
                <w:u w:val="none"/>
              </w:rPr>
              <w:t>。严格环境准入，对水质不达标的区域</w:t>
            </w:r>
            <w:r>
              <w:rPr>
                <w:rFonts w:ascii="Times New Roman"/>
                <w:color w:val="auto"/>
                <w:highlight w:val="none"/>
                <w:u w:val="none"/>
              </w:rPr>
              <w:t>禁止高耗水和污水排放量大、排放强度高的项目建设，对玉米深加工、化工、纺织印染、屠宰、钢铁、啤酒制造等污染负荷大的行业，加大清洁化改造力度，强化中水回用，提高水资源利用率，促进产业结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contextualSpacing/>
              <w:rPr>
                <w:rFonts w:ascii="Times New Roman"/>
                <w:bCs w:val="0"/>
                <w:color w:val="auto"/>
                <w:highlight w:val="none"/>
                <w:u w:val="none"/>
              </w:rPr>
            </w:pPr>
            <w:r>
              <w:rPr>
                <w:rFonts w:ascii="Times New Roman"/>
                <w:color w:val="auto"/>
                <w:highlight w:val="none"/>
                <w:u w:val="none"/>
              </w:rPr>
              <w:t>河流沿岸严格控制石油加工、化学原料和化学制品制造、医药制造、化学纤维制造、有色金属冶炼、制浆造纸、纺织印染等项目建设。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bCs w:val="0"/>
                <w:color w:val="auto"/>
                <w:highlight w:val="none"/>
                <w:u w:val="none"/>
              </w:rPr>
              <w:t>提升畜禽标准化规模养殖水平、推进养殖产业有序转移，促进畜禽养殖布局调整优化。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0" w:after="0" w:line="240" w:lineRule="auto"/>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bCs w:val="0"/>
                <w:color w:val="auto"/>
                <w:highlight w:val="none"/>
                <w:u w:val="none"/>
              </w:rPr>
            </w:pPr>
            <w:r>
              <w:rPr>
                <w:rFonts w:ascii="Times New Roman"/>
                <w:color w:val="auto"/>
                <w:highlight w:val="none"/>
                <w:u w:val="none"/>
              </w:rPr>
              <w:t>在东辽河河流两侧一定范围内科学合理建设河岸生态缓冲带。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restart"/>
            <w:vAlign w:val="center"/>
          </w:tcPr>
          <w:p>
            <w:pPr>
              <w:pStyle w:val="195"/>
              <w:spacing w:before="0" w:after="0" w:line="240" w:lineRule="auto"/>
              <w:ind w:firstLine="0"/>
              <w:jc w:val="center"/>
              <w:rPr>
                <w:rFonts w:ascii="Times New Roman"/>
                <w:b/>
                <w:color w:val="auto"/>
                <w:spacing w:val="-5"/>
                <w:highlight w:val="none"/>
                <w:u w:val="none"/>
              </w:rPr>
            </w:pPr>
            <w:r>
              <w:rPr>
                <w:rFonts w:ascii="Times New Roman"/>
                <w:b/>
                <w:color w:val="auto"/>
                <w:spacing w:val="-5"/>
                <w:highlight w:val="none"/>
                <w:u w:val="none"/>
              </w:rPr>
              <w:t>污染物</w:t>
            </w:r>
          </w:p>
          <w:p>
            <w:pPr>
              <w:pStyle w:val="195"/>
              <w:spacing w:before="0" w:after="0" w:line="240" w:lineRule="auto"/>
              <w:ind w:firstLine="0"/>
              <w:jc w:val="center"/>
              <w:rPr>
                <w:rFonts w:ascii="Times New Roman"/>
                <w:color w:val="auto"/>
                <w:highlight w:val="none"/>
                <w:u w:val="none"/>
              </w:rPr>
            </w:pPr>
            <w:r>
              <w:rPr>
                <w:rFonts w:ascii="Times New Roman"/>
                <w:b/>
                <w:color w:val="auto"/>
                <w:spacing w:val="-5"/>
                <w:highlight w:val="none"/>
                <w:u w:val="none"/>
              </w:rPr>
              <w:t>排放管控</w:t>
            </w:r>
          </w:p>
        </w:tc>
        <w:tc>
          <w:tcPr>
            <w:tcW w:w="4395" w:type="pct"/>
            <w:vAlign w:val="center"/>
          </w:tcPr>
          <w:p>
            <w:pPr>
              <w:pStyle w:val="195"/>
              <w:spacing w:before="0" w:after="0" w:line="360" w:lineRule="exact"/>
              <w:ind w:firstLine="0"/>
              <w:contextualSpacing/>
              <w:rPr>
                <w:rFonts w:ascii="Times New Roman"/>
                <w:bCs w:val="0"/>
                <w:color w:val="auto"/>
                <w:highlight w:val="none"/>
                <w:u w:val="none"/>
              </w:rPr>
            </w:pPr>
            <w:r>
              <w:rPr>
                <w:rFonts w:ascii="Times New Roman"/>
                <w:bCs w:val="0"/>
                <w:color w:val="auto"/>
                <w:highlight w:val="none"/>
                <w:u w:val="none"/>
              </w:rPr>
              <w:t>严格执行《吉林省辽河流域水环境保护条例》</w:t>
            </w:r>
            <w:r>
              <w:rPr>
                <w:rFonts w:ascii="Times New Roman"/>
                <w:color w:val="auto"/>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hint="eastAsia" w:ascii="Times New Roman"/>
                <w:color w:val="auto"/>
                <w:highlight w:val="none"/>
                <w:u w:val="none"/>
              </w:rPr>
            </w:pPr>
            <w:r>
              <w:rPr>
                <w:rFonts w:hint="eastAsia" w:ascii="仿宋_GB2312" w:hAnsi="仿宋_GB2312" w:eastAsia="仿宋_GB2312" w:cs="仿宋_GB2312"/>
                <w:color w:val="auto"/>
                <w:highlight w:val="none"/>
                <w:u w:val="none"/>
              </w:rPr>
              <w:t>推进城镇污水处理设施及配套管网建设与改造，加快雨污分流。满足辽河流域断面水质改善的需求，现有污水处理厂要适时进行提标改造，因地制宜建设人工湿地尾水净化工程。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加快推进乡镇和农村生活污水处理设施建设，推进农村生活污水治理。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严格控制农业面源污染，推广测土配方施肥和高效、低毒、低残留农药等减量控害技术和统防统治，控制化肥和农药使用量。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rPr>
                <w:rFonts w:ascii="Times New Roman"/>
                <w:color w:val="auto"/>
                <w:highlight w:val="none"/>
                <w:u w:val="none"/>
              </w:rPr>
            </w:pPr>
            <w:r>
              <w:rPr>
                <w:rFonts w:ascii="Times New Roman"/>
                <w:color w:val="auto"/>
                <w:highlight w:val="none"/>
                <w:u w:val="none"/>
              </w:rPr>
              <w:t>加快入河（湖、库）排污口规范化建设，严控入河湖污染源。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5"/>
              <w:spacing w:before="120" w:after="120" w:line="360" w:lineRule="exact"/>
              <w:ind w:firstLine="482"/>
              <w:jc w:val="center"/>
              <w:rPr>
                <w:rFonts w:ascii="Times New Roman"/>
                <w:b/>
                <w:color w:val="auto"/>
                <w:spacing w:val="-5"/>
                <w:highlight w:val="none"/>
                <w:u w:val="none"/>
              </w:rPr>
            </w:pPr>
          </w:p>
        </w:tc>
        <w:tc>
          <w:tcPr>
            <w:tcW w:w="4395" w:type="pct"/>
            <w:vAlign w:val="center"/>
          </w:tcPr>
          <w:p>
            <w:pPr>
              <w:pStyle w:val="195"/>
              <w:spacing w:before="0" w:after="0" w:line="240" w:lineRule="auto"/>
              <w:ind w:firstLine="0"/>
              <w:contextualSpacing/>
              <w:rPr>
                <w:rFonts w:ascii="Times New Roman"/>
                <w:bCs w:val="0"/>
                <w:color w:val="auto"/>
                <w:highlight w:val="none"/>
                <w:u w:val="none"/>
              </w:rPr>
            </w:pPr>
            <w:r>
              <w:rPr>
                <w:rFonts w:ascii="Times New Roman"/>
                <w:color w:val="auto"/>
                <w:highlight w:val="none"/>
                <w:u w:val="none"/>
              </w:rPr>
              <w:t>加快推进畜禽养殖污染整治，开展规模化养殖场标准化建设。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4" w:type="pct"/>
            <w:vMerge w:val="restart"/>
            <w:vAlign w:val="center"/>
          </w:tcPr>
          <w:p>
            <w:pPr>
              <w:pStyle w:val="195"/>
              <w:spacing w:before="0" w:after="0" w:line="240" w:lineRule="auto"/>
              <w:ind w:firstLine="0"/>
              <w:jc w:val="center"/>
              <w:rPr>
                <w:rFonts w:ascii="Times New Roman"/>
                <w:color w:val="auto"/>
                <w:highlight w:val="none"/>
                <w:u w:val="none"/>
              </w:rPr>
            </w:pPr>
            <w:r>
              <w:rPr>
                <w:rFonts w:ascii="Times New Roman"/>
                <w:b/>
                <w:color w:val="auto"/>
                <w:highlight w:val="none"/>
                <w:u w:val="none"/>
              </w:rPr>
              <w:t>环境风险防控</w:t>
            </w:r>
          </w:p>
        </w:tc>
        <w:tc>
          <w:tcPr>
            <w:tcW w:w="4395" w:type="pct"/>
            <w:vAlign w:val="center"/>
          </w:tcPr>
          <w:p>
            <w:pPr>
              <w:widowControl/>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防范沿河环境风险，规范沿河化工园区布局，强化现有重点行业环境隐患排查，合理布局生产装置及危险化学品仓储等设施。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spacing w:before="0" w:after="0" w:line="240" w:lineRule="auto"/>
              <w:ind w:firstLine="0"/>
              <w:rPr>
                <w:rFonts w:ascii="Times New Roman" w:hAnsi="Times New Roman" w:eastAsia="仿宋" w:cs="Times New Roman"/>
                <w:color w:val="auto"/>
                <w:szCs w:val="21"/>
                <w:highlight w:val="none"/>
                <w:u w:val="none"/>
              </w:rPr>
            </w:pPr>
            <w:r>
              <w:rPr>
                <w:rFonts w:ascii="Times New Roman" w:hAnsi="Times New Roman" w:eastAsia="仿宋" w:cs="Times New Roman"/>
                <w:color w:val="auto"/>
                <w:szCs w:val="21"/>
                <w:highlight w:val="none"/>
                <w:u w:val="none"/>
              </w:rPr>
              <w:t>加强饮用水水源地环境风险管控，完善风险防控与应急能力建设和相关管理措施，保证饮用水水源水质达标和安全。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604" w:type="pct"/>
            <w:vMerge w:val="restart"/>
            <w:vAlign w:val="center"/>
          </w:tcPr>
          <w:p>
            <w:pPr>
              <w:pStyle w:val="195"/>
              <w:spacing w:before="0" w:after="0" w:line="240" w:lineRule="auto"/>
              <w:ind w:firstLine="0"/>
              <w:jc w:val="center"/>
              <w:rPr>
                <w:rFonts w:ascii="Times New Roman"/>
                <w:b/>
                <w:color w:val="auto"/>
                <w:highlight w:val="none"/>
                <w:u w:val="none"/>
              </w:rPr>
            </w:pPr>
            <w:r>
              <w:rPr>
                <w:rFonts w:ascii="Times New Roman"/>
                <w:b/>
                <w:color w:val="auto"/>
                <w:highlight w:val="none"/>
                <w:u w:val="none"/>
              </w:rPr>
              <w:t>资源利用要求</w:t>
            </w:r>
          </w:p>
        </w:tc>
        <w:tc>
          <w:tcPr>
            <w:tcW w:w="4395" w:type="pct"/>
            <w:vAlign w:val="center"/>
          </w:tcPr>
          <w:p>
            <w:pPr>
              <w:pStyle w:val="195"/>
              <w:spacing w:before="0" w:after="0" w:line="240" w:lineRule="auto"/>
              <w:ind w:firstLine="0"/>
              <w:contextualSpacing/>
              <w:rPr>
                <w:rFonts w:ascii="Times New Roman"/>
                <w:bCs w:val="0"/>
                <w:color w:val="auto"/>
                <w:highlight w:val="none"/>
                <w:u w:val="none"/>
              </w:rPr>
            </w:pPr>
            <w:r>
              <w:rPr>
                <w:rFonts w:ascii="Times New Roman"/>
                <w:bCs w:val="0"/>
                <w:color w:val="auto"/>
                <w:highlight w:val="none"/>
                <w:u w:val="none"/>
              </w:rPr>
              <w:t>按照流域生态水量保障实施方案，统筹流域来水和中部城市引松供水工程等水利工程供水能力和任务，科学调控二龙山水库库水量，保障东辽河流域生态基流。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pStyle w:val="195"/>
              <w:spacing w:before="0" w:after="0" w:line="240" w:lineRule="auto"/>
              <w:ind w:firstLine="0"/>
              <w:contextualSpacing/>
              <w:rPr>
                <w:rFonts w:ascii="Times New Roman"/>
                <w:bCs w:val="0"/>
                <w:color w:val="auto"/>
                <w:highlight w:val="none"/>
                <w:u w:val="none"/>
              </w:rPr>
            </w:pPr>
            <w:r>
              <w:rPr>
                <w:rFonts w:ascii="Times New Roman"/>
                <w:bCs w:val="0"/>
                <w:color w:val="auto"/>
                <w:highlight w:val="none"/>
                <w:u w:val="none"/>
              </w:rPr>
              <w:t>引导推动造纸、石油化工、玉米深加工等高耗水行业企业实施节水改造和污水深度处理回用</w:t>
            </w:r>
            <w:r>
              <w:rPr>
                <w:rFonts w:hint="eastAsia" w:ascii="Times New Roman"/>
                <w:bCs w:val="0"/>
                <w:color w:val="auto"/>
                <w:highlight w:val="none"/>
                <w:u w:val="none"/>
              </w:rPr>
              <w:t>，</w:t>
            </w:r>
            <w:r>
              <w:rPr>
                <w:rFonts w:ascii="Times New Roman"/>
                <w:bCs w:val="0"/>
                <w:color w:val="auto"/>
                <w:highlight w:val="none"/>
                <w:u w:val="none"/>
              </w:rPr>
              <w:t>建设节水型企业。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04" w:type="pct"/>
            <w:vMerge w:val="continue"/>
            <w:vAlign w:val="center"/>
          </w:tcPr>
          <w:p>
            <w:pPr>
              <w:pStyle w:val="195"/>
              <w:spacing w:before="120" w:after="120" w:line="360" w:lineRule="exact"/>
              <w:ind w:firstLine="482"/>
              <w:jc w:val="center"/>
              <w:rPr>
                <w:rFonts w:ascii="Times New Roman"/>
                <w:b/>
                <w:color w:val="auto"/>
                <w:highlight w:val="none"/>
                <w:u w:val="none"/>
              </w:rPr>
            </w:pPr>
          </w:p>
        </w:tc>
        <w:tc>
          <w:tcPr>
            <w:tcW w:w="4395" w:type="pct"/>
            <w:vAlign w:val="center"/>
          </w:tcPr>
          <w:p>
            <w:pPr>
              <w:pStyle w:val="195"/>
              <w:spacing w:before="0" w:after="0" w:line="240" w:lineRule="auto"/>
              <w:ind w:firstLine="0"/>
              <w:contextualSpacing/>
              <w:rPr>
                <w:rFonts w:ascii="Times New Roman"/>
                <w:bCs w:val="0"/>
                <w:color w:val="auto"/>
                <w:highlight w:val="none"/>
                <w:u w:val="none"/>
              </w:rPr>
            </w:pPr>
            <w:r>
              <w:rPr>
                <w:rFonts w:ascii="Times New Roman"/>
                <w:bCs w:val="0"/>
                <w:color w:val="auto"/>
                <w:highlight w:val="none"/>
                <w:u w:val="none"/>
              </w:rPr>
              <w:t>地下水超采区，禁止农业、工业建设项目和服务业新增取用地下水，并逐步削减超采量，实现地下水采补平衡。深层承压地下水原则上只能作为应急和战略储备水源。</w:t>
            </w:r>
          </w:p>
        </w:tc>
      </w:tr>
    </w:tbl>
    <w:p>
      <w:pPr>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AndChars" w:linePitch="312" w:charSpace="0"/>
        </w:sectPr>
      </w:pPr>
    </w:p>
    <w:p>
      <w:pPr>
        <w:pStyle w:val="2"/>
        <w:spacing w:before="0" w:after="0" w:line="240" w:lineRule="auto"/>
        <w:rPr>
          <w:rFonts w:ascii="Times New Roman" w:hAnsi="Times New Roman" w:eastAsia="仿宋" w:cs="Times New Roman"/>
          <w:color w:val="auto"/>
          <w:sz w:val="32"/>
          <w:szCs w:val="32"/>
          <w:highlight w:val="none"/>
          <w:u w:val="none"/>
        </w:rPr>
      </w:pPr>
      <w:bookmarkStart w:id="7" w:name="_Toc20559"/>
      <w:bookmarkStart w:id="8" w:name="_Toc29226"/>
      <w:r>
        <w:rPr>
          <w:rFonts w:hint="eastAsia" w:ascii="Times New Roman" w:hAnsi="Times New Roman" w:eastAsia="仿宋" w:cs="Times New Roman"/>
          <w:color w:val="auto"/>
          <w:sz w:val="32"/>
          <w:szCs w:val="32"/>
          <w:highlight w:val="none"/>
          <w:u w:val="none"/>
          <w:lang w:val="en-US" w:eastAsia="zh-CN"/>
        </w:rPr>
        <w:t>三</w:t>
      </w:r>
      <w:r>
        <w:rPr>
          <w:rFonts w:ascii="Times New Roman" w:hAnsi="Times New Roman" w:eastAsia="仿宋" w:cs="Times New Roman"/>
          <w:color w:val="auto"/>
          <w:sz w:val="32"/>
          <w:szCs w:val="32"/>
          <w:highlight w:val="none"/>
          <w:u w:val="none"/>
        </w:rPr>
        <w:t>、各县（市、区）管控单元准入要求</w:t>
      </w:r>
      <w:bookmarkEnd w:id="7"/>
      <w:bookmarkEnd w:id="8"/>
    </w:p>
    <w:p>
      <w:pPr>
        <w:keepNext/>
        <w:keepLines/>
        <w:outlineLvl w:val="1"/>
        <w:rPr>
          <w:rFonts w:ascii="Times New Roman" w:hAnsi="Times New Roman" w:eastAsia="仿宋" w:cs="Times New Roman"/>
          <w:b/>
          <w:bCs/>
          <w:color w:val="auto"/>
          <w:sz w:val="32"/>
          <w:szCs w:val="32"/>
          <w:highlight w:val="none"/>
          <w:u w:val="none"/>
        </w:rPr>
      </w:pPr>
      <w:bookmarkStart w:id="9" w:name="_Toc27859"/>
      <w:bookmarkStart w:id="10" w:name="_Toc30226"/>
      <w:bookmarkStart w:id="11" w:name="_Toc27572319"/>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一</w:t>
      </w:r>
      <w:r>
        <w:rPr>
          <w:rFonts w:ascii="Times New Roman" w:hAnsi="Times New Roman" w:eastAsia="仿宋" w:cs="Times New Roman"/>
          <w:b/>
          <w:bCs/>
          <w:color w:val="auto"/>
          <w:sz w:val="32"/>
          <w:szCs w:val="32"/>
          <w:highlight w:val="none"/>
          <w:u w:val="none"/>
        </w:rPr>
        <w:t>）长春市南关区生态环境准入清单</w:t>
      </w:r>
      <w:bookmarkEnd w:id="9"/>
      <w:bookmarkEnd w:id="10"/>
    </w:p>
    <w:p>
      <w:pPr>
        <w:jc w:val="center"/>
        <w:rPr>
          <w:rFonts w:ascii="Times New Roman" w:hAnsi="Times New Roman" w:eastAsia="仿宋" w:cs="Times New Roman"/>
          <w:b/>
          <w:color w:val="auto"/>
          <w:highlight w:val="none"/>
          <w:u w:val="none"/>
        </w:rPr>
      </w:pPr>
      <w:bookmarkStart w:id="12" w:name="_Toc27572335"/>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w:t>
      </w:r>
      <w:r>
        <w:rPr>
          <w:rFonts w:ascii="Times New Roman" w:hAnsi="Times New Roman" w:eastAsia="仿宋" w:cs="Times New Roman"/>
          <w:b/>
          <w:color w:val="auto"/>
          <w:highlight w:val="none"/>
          <w:u w:val="none"/>
        </w:rPr>
        <w:t>-</w:t>
      </w:r>
      <w:r>
        <w:rPr>
          <w:rFonts w:hint="eastAsia" w:ascii="Times New Roman" w:hAnsi="Times New Roman" w:eastAsia="仿宋" w:cs="Times New Roman"/>
          <w:b/>
          <w:color w:val="auto"/>
          <w:highlight w:val="none"/>
          <w:u w:val="none"/>
          <w:lang w:val="en-US" w:eastAsia="zh-CN"/>
        </w:rPr>
        <w:t xml:space="preserve">1-1 </w:t>
      </w:r>
      <w:r>
        <w:rPr>
          <w:rFonts w:ascii="Times New Roman" w:hAnsi="Times New Roman" w:eastAsia="仿宋" w:cs="Times New Roman"/>
          <w:b/>
          <w:color w:val="auto"/>
          <w:highlight w:val="none"/>
          <w:u w:val="none"/>
        </w:rPr>
        <w:t>长春市南关区区域特征研判</w:t>
      </w:r>
      <w:bookmarkEnd w:id="12"/>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1.《吉林省主体功能区规划》中的国家级重点开发区域——长吉图经济区。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位于吉林省中部，伊通河上游，省会长春市东南部，是长春市的南大门。现辖12街1乡，1个省级开发区（南部都市经济开发区），全员人口48.9万人，面积80平方公里。</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以传统服务业为依托，以现代服务业为核心，建设集金融商务中心、行政办公中心、文化体育中心、休闲娱乐中心等功能于一体的现代化城市宜居区。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重点发展商务商贸、现代金融、文化创意、健康服务、总部经济、旅游休闲等高端服务业，打造长春中部和南部现代服务业中心区。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水土流失严重</w:t>
            </w: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净月潭国家森林公园、新立城水库、长春净月潭省级湿地公园、吉林八大部－净月潭国家级风景名胜区、国家级公益林</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（1）确保人类开发活动不挤占耕地。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（2）减少生产建设活动对植被、地表的破坏。</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13" w:name="_Toc27572336"/>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 xml:space="preserve">3-1-2 </w:t>
      </w:r>
      <w:r>
        <w:rPr>
          <w:rFonts w:ascii="Times New Roman" w:hAnsi="Times New Roman" w:eastAsia="仿宋" w:cs="Times New Roman"/>
          <w:b/>
          <w:color w:val="auto"/>
          <w:highlight w:val="none"/>
          <w:u w:val="none"/>
        </w:rPr>
        <w:t>长春市南关区生态环境准入清单</w:t>
      </w:r>
      <w:bookmarkEnd w:id="13"/>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08"/>
        <w:gridCol w:w="2047"/>
        <w:gridCol w:w="1667"/>
        <w:gridCol w:w="1726"/>
        <w:gridCol w:w="1832"/>
        <w:gridCol w:w="7834"/>
        <w:gridCol w:w="41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484"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394"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0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85"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76"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ZH22010210001</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吉林伊通火山群国家级自然保护区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ZH22010210002</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吉林净月潭国家森林公园</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2生态保护红线内国家级森林公园执行《国家级自然公园管理办法（试行）》相关要求。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3生态保护红线内风景名胜区执行《风景名胜区条例》相关要求。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森林公园、风景名胜区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ZH22010210003</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吉林八大部－净月潭国家级风景名胜区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2风景名胜区执行《风景名胜区条例》相关要求。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一般生态空间、大气环境优先保护区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ZH22010210004</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吉林长春新立湖国家湿地公园</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2生态保护红线内湿地公园执行《中华人民共和国湿地保护法》《湿地保护管理规定》</w:t>
            </w:r>
            <w:r>
              <w:rPr>
                <w:rFonts w:hint="eastAsia" w:ascii="Times New Roman" w:hAnsi="Times New Roman" w:eastAsia="仿宋" w:cs="Times New Roman"/>
                <w:color w:val="auto"/>
                <w:sz w:val="20"/>
                <w:szCs w:val="20"/>
                <w:highlight w:val="none"/>
                <w:u w:val="none"/>
              </w:rPr>
              <w:t>《国家级自然公园管理办法（试行）》</w:t>
            </w:r>
            <w:r>
              <w:rPr>
                <w:rFonts w:ascii="Times New Roman" w:hAnsi="Times New Roman" w:eastAsia="仿宋" w:cs="Times New Roman"/>
                <w:color w:val="auto"/>
                <w:sz w:val="20"/>
                <w:szCs w:val="20"/>
                <w:highlight w:val="none"/>
                <w:u w:val="none"/>
              </w:rPr>
              <w:t>《吉林省湿地保护条例》《关于特别是作为水禽栖息地的国际重要湿地公约》相关要求。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湿地公园、饮用水水源保护区、水土保持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ZH22010210005</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长春市新立城水库饮用水水源保护区（净月区）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ZH22010210006</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南关区国家级公益林</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2国家级公益林执行</w:t>
            </w:r>
            <w:r>
              <w:rPr>
                <w:rFonts w:hint="eastAsia" w:ascii="Times New Roman" w:hAnsi="Times New Roman" w:eastAsia="仿宋" w:cs="Times New Roman"/>
                <w:color w:val="auto"/>
                <w:sz w:val="20"/>
                <w:szCs w:val="20"/>
                <w:highlight w:val="none"/>
                <w:u w:val="none"/>
              </w:rPr>
              <w:t>《国家级公益林管理办法》（2017年修订）</w:t>
            </w:r>
            <w:r>
              <w:rPr>
                <w:rFonts w:ascii="Times New Roman" w:hAnsi="Times New Roman" w:eastAsia="仿宋" w:cs="Times New Roman"/>
                <w:color w:val="auto"/>
                <w:sz w:val="20"/>
                <w:szCs w:val="20"/>
                <w:highlight w:val="none"/>
                <w:u w:val="none"/>
              </w:rPr>
              <w:t>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国家级公益林、水土保持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ZH22010210007</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南关区松嫩平原水土保持功能生态保护红线</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ZH22010210008</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南关区水土保持功能生态保护红线</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2生态保护红线内风景名胜区执行《风景名胜区条例》相关要求。</w:t>
            </w:r>
          </w:p>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3</w:t>
            </w:r>
            <w:r>
              <w:rPr>
                <w:rFonts w:ascii="Times New Roman" w:hAnsi="Times New Roman" w:eastAsia="仿宋" w:cs="Times New Roman"/>
                <w:color w:val="auto"/>
                <w:sz w:val="20"/>
                <w:szCs w:val="20"/>
                <w:highlight w:val="none"/>
                <w:u w:val="none"/>
              </w:rPr>
              <w:t>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水土保持、风景名胜区</w:t>
            </w:r>
            <w:r>
              <w:rPr>
                <w:rFonts w:hint="eastAsia" w:ascii="Times New Roman" w:hAnsi="Times New Roman" w:eastAsia="仿宋" w:cs="Times New Roman"/>
                <w:color w:val="auto"/>
                <w:sz w:val="20"/>
                <w:szCs w:val="20"/>
                <w:highlight w:val="none"/>
                <w:u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ZH22010220001</w:t>
            </w:r>
          </w:p>
        </w:tc>
        <w:tc>
          <w:tcPr>
            <w:tcW w:w="484"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长春高新技术产业开发区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33"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允许开发建设活动</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widowControl/>
              <w:adjustRightInd w:val="0"/>
              <w:snapToGrid w:val="0"/>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4开发区重点发展的产业为光电子与信息产业、汽车及零部件产业、动漫及相关产业、生物与医药产业、文化创意、信息软件及检测服务业、电气机械和设备制造业、软件及服务外包产业、先进装备制造业、新能源产业、新材料产业。</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创新经济发展示范区、新一轮东北振兴重要引擎、体制机制改革先行区</w:t>
            </w:r>
          </w:p>
          <w:p>
            <w:pPr>
              <w:jc w:val="left"/>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光电子与信息产业、汽车及零部件产业、动漫及相关产业、生物与医药产业、文化创意、信息软件及检测服务业、电气机械和设备制造业、软件及服务外包产业、先进装备制造业、新能源产业、新材料产业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lang w:val="en-US" w:eastAsia="zh-CN" w:bidi="ar-SA"/>
              </w:rPr>
            </w:pPr>
            <w:r>
              <w:rPr>
                <w:rFonts w:ascii="Times New Roman" w:hAnsi="Times New Roman" w:eastAsia="仿宋" w:cs="Times New Roman"/>
                <w:bCs/>
                <w:color w:val="auto"/>
                <w:kern w:val="0"/>
                <w:szCs w:val="21"/>
                <w:highlight w:val="none"/>
                <w:u w:val="none"/>
              </w:rPr>
              <w:t>禁止开发建设活动</w:t>
            </w:r>
          </w:p>
        </w:tc>
        <w:tc>
          <w:tcPr>
            <w:tcW w:w="1852"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w:t>
            </w:r>
            <w:r>
              <w:rPr>
                <w:rFonts w:ascii="Times New Roman" w:hAnsi="Times New Roman" w:eastAsia="仿宋" w:cs="Times New Roman"/>
                <w:color w:val="auto"/>
                <w:kern w:val="0"/>
                <w:szCs w:val="21"/>
                <w:highlight w:val="none"/>
                <w:u w:val="none"/>
              </w:rPr>
              <w:t>禁止引入的项目：</w:t>
            </w:r>
            <w:r>
              <w:rPr>
                <w:rFonts w:ascii="Times New Roman" w:hAnsi="Times New Roman" w:eastAsia="仿宋" w:cs="Times New Roman"/>
                <w:bCs/>
                <w:color w:val="auto"/>
                <w:kern w:val="0"/>
                <w:szCs w:val="21"/>
                <w:highlight w:val="none"/>
                <w:u w:val="none"/>
              </w:rPr>
              <w:t>农药项目，使用传染性或潜在传染性材料的实验室及项目，进行手工胶囊填充工艺、软木塞烫腊包装药品工艺的项目，采掘、冶金、</w:t>
            </w:r>
            <w:r>
              <w:rPr>
                <w:rFonts w:ascii="Times New Roman" w:hAnsi="Times New Roman" w:eastAsia="仿宋" w:cs="Times New Roman"/>
                <w:color w:val="auto"/>
                <w:kern w:val="0"/>
                <w:sz w:val="20"/>
                <w:szCs w:val="20"/>
                <w:highlight w:val="none"/>
                <w:u w:val="none"/>
                <w:lang w:bidi="ar"/>
              </w:rPr>
              <w:t>化学合成类制药</w:t>
            </w:r>
            <w:r>
              <w:rPr>
                <w:rFonts w:ascii="Times New Roman" w:hAnsi="Times New Roman" w:eastAsia="仿宋" w:cs="Times New Roman"/>
                <w:bCs/>
                <w:color w:val="auto"/>
                <w:kern w:val="0"/>
                <w:szCs w:val="21"/>
                <w:highlight w:val="none"/>
                <w:u w:val="none"/>
              </w:rPr>
              <w:t>、化工、造纸、制革等六类工业；禁止引进稀土材料等污染严重的新材料行业。</w:t>
            </w:r>
          </w:p>
          <w:p>
            <w:pPr>
              <w:widowControl/>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2禁止不符合开发区总体规划或产业规划项目入区；</w:t>
            </w:r>
          </w:p>
          <w:p>
            <w:pPr>
              <w:widowControl/>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3</w:t>
            </w:r>
            <w:r>
              <w:rPr>
                <w:rFonts w:ascii="Times New Roman" w:hAnsi="Times New Roman" w:eastAsia="仿宋" w:cs="Times New Roman"/>
                <w:color w:val="auto"/>
                <w:kern w:val="0"/>
                <w:szCs w:val="21"/>
                <w:highlight w:val="none"/>
                <w:u w:val="none"/>
              </w:rPr>
              <w:t>建成区原则上不再新建单台容</w:t>
            </w:r>
            <w:r>
              <w:rPr>
                <w:rFonts w:ascii="Times New Roman" w:hAnsi="Times New Roman" w:eastAsia="仿宋" w:cs="Times New Roman"/>
                <w:bCs/>
                <w:color w:val="auto"/>
                <w:kern w:val="0"/>
                <w:szCs w:val="21"/>
                <w:highlight w:val="none"/>
                <w:u w:val="none"/>
              </w:rPr>
              <w:t>量29兆瓦（40蒸吨/小时）以下燃煤锅炉，其他区域原则上不再新建单台容量14兆瓦（20蒸吨/小时）以下的燃煤锅炉；</w:t>
            </w:r>
          </w:p>
          <w:p>
            <w:pPr>
              <w:widowControl/>
              <w:jc w:val="left"/>
              <w:rPr>
                <w:rFonts w:hint="eastAsia" w:ascii="Times New Roman" w:hAnsi="Times New Roman" w:eastAsia="仿宋" w:cs="Times New Roman"/>
                <w:bCs/>
                <w:color w:val="auto"/>
                <w:kern w:val="0"/>
                <w:szCs w:val="21"/>
                <w:highlight w:val="none"/>
                <w:u w:val="none"/>
                <w:lang w:eastAsia="zh-CN"/>
              </w:rPr>
            </w:pPr>
            <w:r>
              <w:rPr>
                <w:rFonts w:ascii="Times New Roman" w:hAnsi="Times New Roman" w:eastAsia="仿宋" w:cs="Times New Roman"/>
                <w:bCs/>
                <w:color w:val="auto"/>
                <w:kern w:val="0"/>
                <w:szCs w:val="21"/>
                <w:highlight w:val="none"/>
                <w:u w:val="none"/>
              </w:rPr>
              <w:t>4禁止《产业结构调整指导目录》中的“淘汰类”项目</w:t>
            </w:r>
            <w:r>
              <w:rPr>
                <w:rFonts w:hint="eastAsia" w:ascii="Times New Roman" w:hAnsi="Times New Roman" w:eastAsia="仿宋" w:cs="Times New Roman"/>
                <w:bCs/>
                <w:color w:val="auto"/>
                <w:kern w:val="0"/>
                <w:szCs w:val="21"/>
                <w:highlight w:val="none"/>
                <w:u w:val="none"/>
                <w:lang w:eastAsia="zh-CN"/>
              </w:rPr>
              <w:t>；</w:t>
            </w:r>
          </w:p>
          <w:p>
            <w:pPr>
              <w:widowControl/>
              <w:jc w:val="left"/>
              <w:rPr>
                <w:rFonts w:hint="eastAsia" w:ascii="Times New Roman" w:hAnsi="Times New Roman" w:eastAsia="仿宋" w:cs="Times New Roman"/>
                <w:bCs/>
                <w:color w:val="auto"/>
                <w:kern w:val="0"/>
                <w:szCs w:val="21"/>
                <w:highlight w:val="none"/>
                <w:u w:val="none"/>
                <w:lang w:val="en-US" w:eastAsia="zh-CN"/>
              </w:rPr>
            </w:pPr>
            <w:r>
              <w:rPr>
                <w:rFonts w:hint="eastAsia" w:ascii="Times New Roman" w:hAnsi="Times New Roman" w:eastAsia="仿宋" w:cs="Times New Roman"/>
                <w:bCs/>
                <w:color w:val="auto"/>
                <w:kern w:val="0"/>
                <w:szCs w:val="21"/>
                <w:highlight w:val="none"/>
                <w:u w:val="none"/>
                <w:lang w:val="en-US" w:eastAsia="zh-CN"/>
              </w:rPr>
              <w:t>5</w:t>
            </w:r>
            <w:r>
              <w:rPr>
                <w:rFonts w:ascii="Times New Roman" w:hAnsi="Times New Roman" w:eastAsia="仿宋" w:cs="Times New Roman"/>
                <w:bCs/>
                <w:color w:val="auto"/>
                <w:kern w:val="0"/>
                <w:szCs w:val="21"/>
                <w:highlight w:val="none"/>
                <w:u w:val="none"/>
              </w:rPr>
              <w:t>.禁止新建水环境污染严重的项目；严格限制涉重企业入区，新增的重金属总量须征得相关主管部门批准后，方可实施。</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限制开发建设活动</w:t>
            </w:r>
          </w:p>
        </w:tc>
        <w:tc>
          <w:tcPr>
            <w:tcW w:w="1852" w:type="pct"/>
            <w:tcBorders>
              <w:left w:val="single" w:color="auto" w:sz="4" w:space="0"/>
              <w:right w:val="single" w:color="auto" w:sz="4" w:space="0"/>
            </w:tcBorders>
            <w:shd w:val="clear" w:color="auto" w:fill="auto"/>
            <w:vAlign w:val="center"/>
          </w:tcPr>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w:t>
            </w:r>
            <w:r>
              <w:rPr>
                <w:rFonts w:ascii="Times New Roman" w:hAnsi="Times New Roman" w:eastAsia="仿宋" w:cs="Times New Roman"/>
                <w:color w:val="auto"/>
                <w:kern w:val="0"/>
                <w:szCs w:val="21"/>
                <w:highlight w:val="none"/>
                <w:u w:val="none"/>
              </w:rPr>
              <w:t>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p>
            <w:pPr>
              <w:widowControl/>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2严格限制涉重企业入区，新增的重金属总量须征得相关主管部门批准后，方可实施；</w:t>
            </w:r>
          </w:p>
          <w:p>
            <w:pPr>
              <w:widowControl/>
              <w:adjustRightInd w:val="0"/>
              <w:snapToGrid w:val="0"/>
              <w:jc w:val="left"/>
              <w:rPr>
                <w:rFonts w:hint="eastAsia" w:eastAsia="仿宋"/>
                <w:color w:val="auto"/>
                <w:highlight w:val="none"/>
                <w:u w:val="none"/>
                <w:lang w:eastAsia="zh-CN"/>
              </w:rPr>
            </w:pPr>
            <w:r>
              <w:rPr>
                <w:rFonts w:ascii="Times New Roman" w:hAnsi="Times New Roman" w:eastAsia="仿宋" w:cs="Times New Roman"/>
                <w:bCs/>
                <w:color w:val="auto"/>
                <w:kern w:val="0"/>
                <w:szCs w:val="21"/>
                <w:highlight w:val="none"/>
                <w:u w:val="none"/>
              </w:rPr>
              <w:t>3严格限制《产业结构调整指导目录》中的“限制类”项目入区</w:t>
            </w:r>
            <w:r>
              <w:rPr>
                <w:rFonts w:hint="eastAsia" w:ascii="Times New Roman" w:hAnsi="Times New Roman" w:eastAsia="仿宋" w:cs="Times New Roman"/>
                <w:bCs/>
                <w:color w:val="auto"/>
                <w:kern w:val="0"/>
                <w:szCs w:val="21"/>
                <w:highlight w:val="none"/>
                <w:u w:val="none"/>
                <w:lang w:eastAsia="zh-CN"/>
              </w:rPr>
              <w:t>。</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不符合空间布局活动的退出要求</w:t>
            </w:r>
          </w:p>
        </w:tc>
        <w:tc>
          <w:tcPr>
            <w:tcW w:w="1852" w:type="pct"/>
            <w:tcBorders>
              <w:left w:val="single" w:color="auto" w:sz="4" w:space="0"/>
              <w:right w:val="single" w:color="auto" w:sz="4" w:space="0"/>
            </w:tcBorders>
            <w:shd w:val="clear" w:color="auto" w:fill="auto"/>
            <w:vAlign w:val="center"/>
          </w:tcPr>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1在充分落实环保措施、对周围环境影响可接受的前提下，允许不符合空间布局的现有项目进行改扩建工程；</w:t>
            </w:r>
          </w:p>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2用地冲突企业，在取得合法土地使用证前，禁止扩建和扩大厂区；</w:t>
            </w:r>
          </w:p>
          <w:p>
            <w:pPr>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3现有不符合开发区产业发展方向和环境保护要求的企业应逐步升级改造或搬迁、淘汰；尽快制定拆除搬迁方案，明确搬迁时限。</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33"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总量控制和污染物减排</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现有源提标升级改造</w:t>
            </w:r>
          </w:p>
        </w:tc>
        <w:tc>
          <w:tcPr>
            <w:tcW w:w="1852"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推动单台容量25兆瓦（35蒸吨/小时）及以上燃煤供热锅炉实施超低排放改造。按照最新的政策要求，逐步开展燃煤锅炉淘汰工作。</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新增源排放限制</w:t>
            </w:r>
          </w:p>
        </w:tc>
        <w:tc>
          <w:tcPr>
            <w:tcW w:w="1852"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5"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33"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用地环境风险防控要求</w:t>
            </w:r>
          </w:p>
        </w:tc>
        <w:tc>
          <w:tcPr>
            <w:tcW w:w="185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 开发区管委会协助落实土壤污染重点监管企业污染隐患排查、自行监测、拆除生产设备污染防治方案备案等制度；</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 土壤环境污染重点监管企业、危化品仓储企业落实《工矿用地土壤环境管理办法（试行）》要求，实施项目环评、设计建设、拆除设施、终止经营全生命周期土壤和地下水污染防治；</w:t>
            </w:r>
          </w:p>
          <w:p>
            <w:pPr>
              <w:widowControl/>
              <w:adjustRightInd w:val="0"/>
              <w:snapToGrid w:val="0"/>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 严格管理涉及易导致环境风险的有毒有害和易燃易爆物质的生产、使用、排放、贮运等新建、改扩建项目。</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5"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园区环境风险防控要求</w:t>
            </w:r>
          </w:p>
        </w:tc>
        <w:tc>
          <w:tcPr>
            <w:tcW w:w="1852"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45"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企业环境风险防控要求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33"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水资源利用效率要求</w:t>
            </w:r>
          </w:p>
        </w:tc>
        <w:tc>
          <w:tcPr>
            <w:tcW w:w="185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widowControl/>
              <w:adjustRightInd w:val="0"/>
              <w:snapToGrid w:val="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52"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52"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高污染燃料禁燃</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widowControl/>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ZH22010220002</w:t>
            </w:r>
          </w:p>
        </w:tc>
        <w:tc>
          <w:tcPr>
            <w:tcW w:w="484"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长春净月高新技术产业开发区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4开发区</w:t>
            </w:r>
            <w:r>
              <w:rPr>
                <w:rFonts w:hint="eastAsia" w:ascii="Times New Roman" w:hAnsi="Times New Roman" w:eastAsia="仿宋" w:cs="Times New Roman"/>
                <w:color w:val="auto"/>
                <w:kern w:val="0"/>
                <w:szCs w:val="21"/>
                <w:highlight w:val="none"/>
                <w:u w:val="none"/>
              </w:rPr>
              <w:t>做大做强数字经济</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智能感知领域、数字产业化领域、数字融合应用领域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、先进制造</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光电信息领域、汽车电子领域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、影视文旅</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影视制播领域、文化创意领域、文化旅游领域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三个主导产业，做优做精生命健康</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医养康养服务领域、未来医学领域、新型医药器械领域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、现代农业产业</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现代种业领域、精优食品领域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,前瞻布局低空经济产业,加快构建具有净月特色的“3强2优1特色”的现代化产业体系</w:t>
            </w:r>
            <w:r>
              <w:rPr>
                <w:rFonts w:ascii="Times New Roman" w:hAnsi="Times New Roman" w:eastAsia="仿宋" w:cs="Times New Roman"/>
                <w:color w:val="auto"/>
                <w:kern w:val="0"/>
                <w:szCs w:val="21"/>
                <w:highlight w:val="none"/>
                <w:u w:val="none"/>
              </w:rPr>
              <w:t>。</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创新经济发展示范区、新一轮东北振兴重要引擎、体制机制改革先行区</w:t>
            </w:r>
          </w:p>
          <w:p>
            <w:pPr>
              <w:jc w:val="left"/>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hint="eastAsia" w:ascii="Times New Roman" w:hAnsi="Times New Roman" w:eastAsia="仿宋" w:cs="Times New Roman"/>
                <w:color w:val="auto"/>
                <w:sz w:val="20"/>
                <w:szCs w:val="20"/>
                <w:highlight w:val="none"/>
                <w:u w:val="none"/>
              </w:rPr>
              <w:t>数字经济（智能感知领域数字产业化领域、数字融合应用领域）、先进制造（光电信息领域、汽车电子领域）、影视文旅（影视制播领域、文化创意领域、文化旅游领域）。</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禁养区内禁止建设养殖场；</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52" w:type="pct"/>
            <w:tcBorders>
              <w:left w:val="single" w:color="auto" w:sz="4" w:space="0"/>
              <w:right w:val="single" w:color="auto" w:sz="4" w:space="0"/>
            </w:tcBorders>
            <w:shd w:val="clear" w:color="auto" w:fill="auto"/>
            <w:vAlign w:val="center"/>
          </w:tcPr>
          <w:p>
            <w:pPr>
              <w:rPr>
                <w:rFonts w:hint="eastAsia" w:eastAsia="仿宋"/>
                <w:color w:val="auto"/>
                <w:highlight w:val="none"/>
                <w:u w:val="none"/>
                <w:lang w:eastAsia="zh-CN"/>
              </w:rPr>
            </w:pPr>
            <w:r>
              <w:rPr>
                <w:rFonts w:ascii="Times New Roman" w:hAnsi="Times New Roman" w:eastAsia="仿宋" w:cs="Times New Roman"/>
                <w:color w:val="auto"/>
                <w:kern w:val="0"/>
                <w:szCs w:val="21"/>
                <w:highlight w:val="none"/>
                <w:u w:val="none"/>
              </w:rPr>
              <w:t>1严格限制《产业结构调整指导目录》中的“限制类”项目入区</w:t>
            </w:r>
            <w:r>
              <w:rPr>
                <w:rFonts w:hint="eastAsia" w:ascii="Times New Roman" w:hAnsi="Times New Roman" w:eastAsia="仿宋" w:cs="Times New Roman"/>
                <w:color w:val="auto"/>
                <w:kern w:val="0"/>
                <w:szCs w:val="21"/>
                <w:highlight w:val="none"/>
                <w:u w:val="none"/>
                <w:lang w:eastAsia="zh-CN"/>
              </w:rPr>
              <w:t>。</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1在充分落实环保措施、对周围环境影响可接受的前提下，允许不符合空间布局的现有项目维持现状，除上述现有项目外，对于其他与产业布局不符的项目，建议实施搬迁改造；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6全面推进挥发性有机物总量减排，加强高效收集治理设施建设，实现排气筒与厂界双达标。</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52"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推动单台容量25兆瓦（35蒸吨/小时）及以上燃煤供热锅炉实施超低排放改造。按照国家、省政策的调整和要求，逐步开展燃煤锅炉淘汰工作。</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52"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1区内企业应建立完善风险防范体系及风险防范措施，做好与开发区的联动；制定应急预案并及时修编，定期演练，加强对于风险防范措施的维护，保证措施有效、应急物资充足；</w:t>
            </w:r>
          </w:p>
          <w:p>
            <w:pPr>
              <w:widowControl/>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2积极采取有效的节水措施，严格限制不符合高新区产业规划、高水耗高能耗的企业入驻，减少水资源的消耗，同时入区企业应采用先进的工艺和管理手段减少水耗，节约用水；</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3单位工业增加值新鲜水耗≤10m</w:t>
            </w:r>
            <w:r>
              <w:rPr>
                <w:rFonts w:ascii="Times New Roman" w:hAnsi="Times New Roman" w:eastAsia="仿宋" w:cs="Times New Roman"/>
                <w:color w:val="auto"/>
                <w:kern w:val="0"/>
                <w:szCs w:val="21"/>
                <w:highlight w:val="none"/>
                <w:u w:val="none"/>
                <w:vertAlign w:val="superscript"/>
              </w:rPr>
              <w:t>3</w:t>
            </w:r>
            <w:r>
              <w:rPr>
                <w:rFonts w:ascii="Times New Roman" w:hAnsi="Times New Roman" w:eastAsia="仿宋" w:cs="Times New Roman"/>
                <w:color w:val="auto"/>
                <w:kern w:val="0"/>
                <w:szCs w:val="21"/>
                <w:highlight w:val="none"/>
                <w:u w:val="none"/>
              </w:rPr>
              <w:t>/万元；</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4规划再生水回用率：不低于10%。</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1" w:hRule="atLeast"/>
          <w:jc w:val="center"/>
        </w:trPr>
        <w:tc>
          <w:tcPr>
            <w:tcW w:w="451"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ZH22010220003</w:t>
            </w:r>
          </w:p>
        </w:tc>
        <w:tc>
          <w:tcPr>
            <w:tcW w:w="484"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长春南部都市经济开发区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4开发区以房地产业为重要载体，重点发展金融业、商务服务业、文化创意产业、现代商业，共同支撑南部新城未来产业发展。</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开发区以现代服务业为特色，集中优势资源打造“大商务、大商业、大文化”为特征的三大主导产业体系，建设服务全市、全省乃至全东北、东北亚的现代服务业中心区。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金融业、商务服务业、文化创意产业、现代商业。</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土壤污染防治行动计划》《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1在充分落实环保措施、对周围环境影响可接受的前提下，允许不符合空间布局的现有项目维持现状；对于其他与产业布局不符的项目，建议进行转产、转型，发展绿色产业，或进行异地搬迁。</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7依据《关于加强高能耗、高排放建设项目生态环境源头防控的指导意见》的相关要求，新建、扩建“两高”项目应采用先进适用的工艺技术和装备，单位产品物耗、能耗、水耗等达到清洁生产先进水平。</w:t>
            </w:r>
          </w:p>
        </w:tc>
        <w:tc>
          <w:tcPr>
            <w:tcW w:w="97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根据《长春市人民政府办公厅关于印发长春市空气、水环境、土壤环境质量巩固提升三个行动方案的通知》（长府办发〔2021〕14号），推动单台容量25兆瓦（35蒸吨/小时）及以上燃煤供热锅炉实施超低排放改造。按照最新的政策要求，逐步开展燃煤锅炉淘汰工作。</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7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jc w:val="left"/>
              <w:rPr>
                <w:color w:val="auto"/>
                <w:highlight w:val="none"/>
                <w:u w:val="none"/>
              </w:rPr>
            </w:pPr>
          </w:p>
        </w:tc>
        <w:tc>
          <w:tcPr>
            <w:tcW w:w="484" w:type="pct"/>
            <w:vMerge w:val="continue"/>
            <w:shd w:val="clear" w:color="auto" w:fill="auto"/>
            <w:vAlign w:val="center"/>
          </w:tcPr>
          <w:p>
            <w:pPr>
              <w:jc w:val="left"/>
              <w:rPr>
                <w:color w:val="auto"/>
                <w:highlight w:val="none"/>
                <w:u w:val="none"/>
              </w:rPr>
            </w:pPr>
          </w:p>
        </w:tc>
        <w:tc>
          <w:tcPr>
            <w:tcW w:w="394" w:type="pct"/>
            <w:vMerge w:val="continue"/>
            <w:tcBorders>
              <w:right w:val="single" w:color="auto" w:sz="4" w:space="0"/>
            </w:tcBorders>
            <w:shd w:val="clear" w:color="auto" w:fill="auto"/>
            <w:vAlign w:val="center"/>
          </w:tcPr>
          <w:p>
            <w:pPr>
              <w:jc w:val="left"/>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7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jc w:val="left"/>
              <w:rPr>
                <w:color w:val="auto"/>
                <w:highlight w:val="none"/>
                <w:u w:val="none"/>
              </w:rPr>
            </w:pPr>
          </w:p>
        </w:tc>
        <w:tc>
          <w:tcPr>
            <w:tcW w:w="484" w:type="pct"/>
            <w:vMerge w:val="continue"/>
            <w:shd w:val="clear" w:color="auto" w:fill="auto"/>
            <w:vAlign w:val="center"/>
          </w:tcPr>
          <w:p>
            <w:pPr>
              <w:jc w:val="left"/>
              <w:rPr>
                <w:color w:val="auto"/>
                <w:highlight w:val="none"/>
                <w:u w:val="none"/>
              </w:rPr>
            </w:pPr>
          </w:p>
        </w:tc>
        <w:tc>
          <w:tcPr>
            <w:tcW w:w="394" w:type="pct"/>
            <w:vMerge w:val="continue"/>
            <w:tcBorders>
              <w:right w:val="single" w:color="auto" w:sz="4" w:space="0"/>
            </w:tcBorders>
            <w:shd w:val="clear" w:color="auto" w:fill="auto"/>
            <w:vAlign w:val="center"/>
          </w:tcPr>
          <w:p>
            <w:pPr>
              <w:jc w:val="left"/>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企业环境风险</w:t>
            </w:r>
          </w:p>
          <w:p>
            <w:pPr>
              <w:jc w:val="center"/>
              <w:rPr>
                <w:color w:val="auto"/>
                <w:highlight w:val="none"/>
                <w:u w:val="none"/>
              </w:rPr>
            </w:pPr>
            <w:r>
              <w:rPr>
                <w:rFonts w:ascii="Times New Roman" w:hAnsi="Times New Roman" w:eastAsia="仿宋" w:cs="Times New Roman"/>
                <w:color w:val="auto"/>
                <w:kern w:val="0"/>
                <w:szCs w:val="21"/>
                <w:highlight w:val="none"/>
                <w:u w:val="none"/>
              </w:rPr>
              <w:t>防控要求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7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1</w:t>
            </w:r>
            <w:r>
              <w:rPr>
                <w:rFonts w:ascii="Times New Roman" w:hAnsi="Times New Roman" w:eastAsia="仿宋" w:cs="Times New Roman"/>
                <w:color w:val="auto"/>
                <w:kern w:val="0"/>
                <w:szCs w:val="21"/>
                <w:highlight w:val="none"/>
                <w:u w:val="none"/>
              </w:rPr>
              <w:t>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w:t>
            </w:r>
            <w:r>
              <w:rPr>
                <w:rFonts w:hint="eastAsia" w:ascii="Times New Roman" w:eastAsia="仿宋"/>
                <w:color w:val="auto"/>
                <w:kern w:val="0"/>
                <w:szCs w:val="21"/>
                <w:highlight w:val="none"/>
                <w:u w:val="none"/>
              </w:rPr>
              <w:t>用水量、水资源利用效率等指标完成上级部门下达的任务要求。</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5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1" w:type="pct"/>
            <w:vMerge w:val="continue"/>
            <w:shd w:val="clear" w:color="auto" w:fill="auto"/>
            <w:vAlign w:val="center"/>
          </w:tcPr>
          <w:p>
            <w:pPr>
              <w:rPr>
                <w:color w:val="auto"/>
                <w:highlight w:val="none"/>
                <w:u w:val="none"/>
              </w:rPr>
            </w:pPr>
          </w:p>
        </w:tc>
        <w:tc>
          <w:tcPr>
            <w:tcW w:w="484" w:type="pct"/>
            <w:vMerge w:val="continue"/>
            <w:shd w:val="clear" w:color="auto" w:fill="auto"/>
            <w:vAlign w:val="center"/>
          </w:tcPr>
          <w:p>
            <w:pPr>
              <w:rPr>
                <w:color w:val="auto"/>
                <w:highlight w:val="none"/>
                <w:u w:val="none"/>
              </w:rPr>
            </w:pPr>
          </w:p>
        </w:tc>
        <w:tc>
          <w:tcPr>
            <w:tcW w:w="394" w:type="pct"/>
            <w:vMerge w:val="continue"/>
            <w:tcBorders>
              <w:right w:val="single" w:color="auto" w:sz="4" w:space="0"/>
            </w:tcBorders>
            <w:shd w:val="clear" w:color="auto" w:fill="auto"/>
            <w:vAlign w:val="center"/>
          </w:tcPr>
          <w:p>
            <w:pPr>
              <w:rPr>
                <w:color w:val="auto"/>
                <w:highlight w:val="none"/>
                <w:u w:val="none"/>
              </w:rPr>
            </w:pPr>
          </w:p>
        </w:tc>
        <w:tc>
          <w:tcPr>
            <w:tcW w:w="408"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3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85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7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ZH22010220004</w:t>
            </w:r>
          </w:p>
        </w:tc>
        <w:tc>
          <w:tcPr>
            <w:tcW w:w="484"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南关区城镇开发边界</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76" w:type="pct"/>
            <w:vMerge w:val="restart"/>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color w:val="auto"/>
                <w:sz w:val="20"/>
                <w:szCs w:val="20"/>
                <w:highlight w:val="none"/>
                <w:u w:val="none"/>
              </w:rPr>
              <w:t>重点发展现代服务业，提升城市职能；高标准建设商业服务设施，打造南部新城及城市南部新中心，控制流绿空间，形成长春城市新形象；疏散北部城区人口，保护传统街区风貌；加强伊通河沿岸生态绿化的保护与建设。</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8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长春市人民政府关于划定高污染燃料禁燃区的通告》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ZH22010220005</w:t>
            </w:r>
          </w:p>
        </w:tc>
        <w:tc>
          <w:tcPr>
            <w:tcW w:w="484"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南关区大气环境高排放重点管控区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8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ZH22010220006</w:t>
            </w:r>
          </w:p>
        </w:tc>
        <w:tc>
          <w:tcPr>
            <w:tcW w:w="484"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南关区大气环境布局敏感重点管控区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8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8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4"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8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ZH22010230001</w:t>
            </w:r>
          </w:p>
        </w:tc>
        <w:tc>
          <w:tcPr>
            <w:tcW w:w="484"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南关区一般管控区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8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注：吉林伊通火山群国家级自然保护区面积为0.22平方千米，占比0.02%，各地区部门间联合管控。</w:t>
      </w:r>
    </w:p>
    <w:p>
      <w:pPr>
        <w:keepNext/>
        <w:keepLines/>
        <w:outlineLvl w:val="1"/>
        <w:rPr>
          <w:rFonts w:ascii="Times New Roman" w:hAnsi="Times New Roman" w:eastAsia="仿宋" w:cs="Times New Roman"/>
          <w:b/>
          <w:bCs/>
          <w:color w:val="auto"/>
          <w:sz w:val="32"/>
          <w:szCs w:val="32"/>
          <w:highlight w:val="none"/>
          <w:u w:val="none"/>
        </w:rPr>
      </w:pPr>
      <w:bookmarkStart w:id="14" w:name="_Toc27572331"/>
      <w:bookmarkStart w:id="15" w:name="_Toc18070"/>
      <w:bookmarkStart w:id="16" w:name="_Toc17242"/>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二</w:t>
      </w:r>
      <w:r>
        <w:rPr>
          <w:rFonts w:ascii="Times New Roman" w:hAnsi="Times New Roman" w:eastAsia="仿宋" w:cs="Times New Roman"/>
          <w:b/>
          <w:bCs/>
          <w:color w:val="auto"/>
          <w:sz w:val="32"/>
          <w:szCs w:val="32"/>
          <w:highlight w:val="none"/>
          <w:u w:val="none"/>
        </w:rPr>
        <w:t>）长春市宽城区</w:t>
      </w:r>
      <w:bookmarkEnd w:id="14"/>
      <w:r>
        <w:rPr>
          <w:rFonts w:ascii="Times New Roman" w:hAnsi="Times New Roman" w:eastAsia="仿宋" w:cs="Times New Roman"/>
          <w:b/>
          <w:bCs/>
          <w:color w:val="auto"/>
          <w:sz w:val="32"/>
          <w:szCs w:val="32"/>
          <w:highlight w:val="none"/>
          <w:u w:val="none"/>
        </w:rPr>
        <w:t>生态环境准入清单</w:t>
      </w:r>
      <w:bookmarkEnd w:id="15"/>
      <w:bookmarkEnd w:id="16"/>
    </w:p>
    <w:p>
      <w:pPr>
        <w:jc w:val="center"/>
        <w:rPr>
          <w:rFonts w:ascii="Times New Roman" w:hAnsi="Times New Roman" w:eastAsia="仿宋" w:cs="Times New Roman"/>
          <w:b/>
          <w:color w:val="auto"/>
          <w:highlight w:val="none"/>
          <w:u w:val="none"/>
        </w:rPr>
      </w:pPr>
      <w:bookmarkStart w:id="17" w:name="_Toc27572332"/>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3-2</w:t>
      </w:r>
      <w:r>
        <w:rPr>
          <w:rFonts w:ascii="Times New Roman" w:hAnsi="Times New Roman" w:eastAsia="仿宋" w:cs="Times New Roman"/>
          <w:b/>
          <w:color w:val="auto"/>
          <w:highlight w:val="none"/>
          <w:u w:val="none"/>
        </w:rPr>
        <w:t>-1长春市宽城区区域特征研判</w:t>
      </w:r>
      <w:bookmarkEnd w:id="17"/>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1.《吉林省主体功能区规划》中的国家级重点开发区域——长吉图经济区。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位于吉林省中部，伊通河上游，省会长春市北部，总面积900.48平方公里。辖10个街道1个镇。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加快以北人民大街为轴心的现代服务业产业带建设；加快宽城经济开发区和装备制造园区对制造业、农产品加工业、现代服务业和物流业的集群集聚步伐，提升两个省级开发区对宽城经济的支撑作用。</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建设铁南特色商业旅游板块、站北商贸商务板块、机车厂原址远东文化创意板块、行政中心区现代服务业板块、北部科技服务板块、城市配送物流板块、现代制造业板块、智能装备制造板块、生产资料物流板块、轨道装备制造板块。通过几年的努力，把宽城建设成为产业结构更优、发展动力更足、经济实力更强的长春北部核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吉林八大部－净月潭国家级风景名胜区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（1）确保人类开发活动不挤占耕地。</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18" w:name="_Toc27572333"/>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3-2</w:t>
      </w:r>
      <w:r>
        <w:rPr>
          <w:rFonts w:ascii="Times New Roman" w:hAnsi="Times New Roman" w:eastAsia="仿宋" w:cs="Times New Roman"/>
          <w:b/>
          <w:color w:val="auto"/>
          <w:highlight w:val="none"/>
          <w:u w:val="none"/>
        </w:rPr>
        <w:t>-2长春市宽城区生态环境准入清单</w:t>
      </w:r>
      <w:bookmarkEnd w:id="18"/>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87"/>
        <w:gridCol w:w="2102"/>
        <w:gridCol w:w="1726"/>
        <w:gridCol w:w="1717"/>
        <w:gridCol w:w="1921"/>
        <w:gridCol w:w="7737"/>
        <w:gridCol w:w="40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497"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08"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83"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58"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ZH22010310001</w:t>
            </w:r>
          </w:p>
        </w:tc>
        <w:tc>
          <w:tcPr>
            <w:tcW w:w="49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吉林八大部－净月潭国家级风景名胜区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color w:val="auto"/>
                <w:sz w:val="20"/>
                <w:szCs w:val="20"/>
                <w:highlight w:val="none"/>
                <w:u w:val="none"/>
              </w:rPr>
            </w:pPr>
            <w:r>
              <w:rPr>
                <w:rFonts w:ascii="Times New Roman" w:hAnsi="Times New Roman" w:eastAsia="仿宋" w:cs="Times New Roman"/>
                <w:bCs/>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bCs/>
                <w:color w:val="auto"/>
                <w:sz w:val="20"/>
                <w:szCs w:val="20"/>
                <w:highlight w:val="none"/>
                <w:u w:val="none"/>
              </w:rPr>
            </w:pPr>
            <w:r>
              <w:rPr>
                <w:rFonts w:ascii="Times New Roman" w:hAnsi="Times New Roman" w:eastAsia="仿宋" w:cs="Times New Roman"/>
                <w:bCs/>
                <w:color w:val="auto"/>
                <w:sz w:val="20"/>
                <w:szCs w:val="20"/>
                <w:highlight w:val="none"/>
                <w:u w:val="none"/>
              </w:rPr>
              <w:t>2风景名胜区执行《风景名胜区条例》相关要求。</w:t>
            </w:r>
          </w:p>
        </w:tc>
        <w:tc>
          <w:tcPr>
            <w:tcW w:w="958"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一般生态空间、大气环境优先保护区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4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ZH22010320001</w:t>
            </w:r>
          </w:p>
        </w:tc>
        <w:tc>
          <w:tcPr>
            <w:tcW w:w="49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长春宽城经济开发区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54" w:type="pct"/>
            <w:tcBorders>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29"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1鼓励清洁生产型、高新技术型和节水节能型企业入驻，鼓励新建企业清洁生产水平达到国际先进水平；鼓励有助于延长产业链项目落区；鼓励有助于开发区内部循环产业链的项目落区；</w:t>
            </w:r>
          </w:p>
          <w:p>
            <w:pPr>
              <w:adjustRightInd w:val="0"/>
              <w:snapToGrid w:val="0"/>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2严格按照区域国土空间规划合理选择项目用地，鼓励土地集约利用度高的企业落区；</w:t>
            </w:r>
          </w:p>
          <w:p>
            <w:pPr>
              <w:adjustRightInd w:val="0"/>
              <w:snapToGrid w:val="0"/>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adjustRightInd w:val="0"/>
              <w:snapToGrid w:val="0"/>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4建设项目新增主要污染物排放量符合总量控制和污染物减排要求；涉重金属企业新增重金属排放量应取得总量指标；</w:t>
            </w:r>
          </w:p>
          <w:p>
            <w:pPr>
              <w:adjustRightInd w:val="0"/>
              <w:snapToGrid w:val="0"/>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新建、扩建“两高”项目须符合生态环境保护法律法规和相关法定规划，满足重点污染物排放总量控制、碳排放达峰目标、生态环境准入清单、相关规划环评和相应行业建设项目环境准入条件、环评文件审批原则要求；</w:t>
            </w:r>
          </w:p>
          <w:p>
            <w:pPr>
              <w:adjustRightInd w:val="0"/>
              <w:snapToGrid w:val="0"/>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 xml:space="preserve">6以轨道交通产业为引领，重点发展装备制造产业、汽车及汽车零部件制造产业、金属制品制造产业、非金属矿物制品制造产业、橡胶和塑料制品制造产业、通用设备制造、专业设备制造、仪器仪表制造、电镀等金属表面处理产业、建材产业、农副食品加工产业、食品加工产业，废弃资源综合利用、生态保护和环境治理、有色金属冶炼及压延加工、汽车拆解等循环经济产业、新材料制造业、电子信息产业、科学研究和技术服务业、商住综合服务产业、居民服务、修理和其他服务业、批发和零售业、教育、卫生、娱乐业、仓储物流产业、农业等。   </w:t>
            </w:r>
            <w:r>
              <w:rPr>
                <w:rFonts w:ascii="Times New Roman" w:hAnsi="Times New Roman" w:eastAsia="仿宋" w:cs="Times New Roman"/>
                <w:b/>
                <w:color w:val="auto"/>
                <w:kern w:val="0"/>
                <w:szCs w:val="21"/>
                <w:highlight w:val="none"/>
                <w:u w:val="none"/>
              </w:rPr>
              <w:t xml:space="preserve">                                    </w:t>
            </w:r>
          </w:p>
        </w:tc>
        <w:tc>
          <w:tcPr>
            <w:tcW w:w="958" w:type="pct"/>
            <w:vMerge w:val="restart"/>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以现代物流集聚区和先进制造业集聚区为主导的综合性产业园区。全国重要的交通运输设备制造、石化、生物、光电子和农产品加工基地，区域性高新技术产业基地。</w:t>
            </w:r>
          </w:p>
          <w:p>
            <w:pPr>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以轨道交通产业为引领，重点发展装备制造产业、汽车及汽车零部件制造产业、金属制品制造产业、非金属矿物制品制造产业、橡胶和塑料制品制造产业、通用设备制造、专业设备制造、仪器仪表制造、电镀等金属表面处理产业、建材产业、农副食品加工产业、食品加工产业，废弃资源综合利用、生态保护和环境治理、有色金属冶炼及压延加工、汽车拆解等循环经济产业、新材料制造业、电子信息产业、科学研究和技术服务业、商住综合服务产业、居民服务、修理和其他服务业、批发和零售业、教育、卫生、娱乐业、仓储物流产业、农业等。</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污染地块土壤环境管理办法（试行）》《土壤污染防治行动计划》《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46" w:type="pct"/>
            <w:vMerge w:val="continue"/>
            <w:shd w:val="clear" w:color="auto" w:fill="auto"/>
            <w:vAlign w:val="center"/>
          </w:tcPr>
          <w:p>
            <w:pPr>
              <w:autoSpaceDE w:val="0"/>
              <w:autoSpaceDN w:val="0"/>
              <w:adjustRightInd w:val="0"/>
              <w:jc w:val="left"/>
              <w:rPr>
                <w:color w:val="auto"/>
                <w:highlight w:val="none"/>
                <w:u w:val="none"/>
              </w:rPr>
            </w:pPr>
          </w:p>
        </w:tc>
        <w:tc>
          <w:tcPr>
            <w:tcW w:w="497" w:type="pct"/>
            <w:vMerge w:val="continue"/>
            <w:shd w:val="clear" w:color="auto" w:fill="auto"/>
            <w:vAlign w:val="center"/>
          </w:tcPr>
          <w:p>
            <w:pPr>
              <w:autoSpaceDE w:val="0"/>
              <w:autoSpaceDN w:val="0"/>
              <w:adjustRightInd w:val="0"/>
              <w:jc w:val="left"/>
              <w:rPr>
                <w:color w:val="auto"/>
                <w:highlight w:val="none"/>
                <w:u w:val="none"/>
              </w:rPr>
            </w:pPr>
          </w:p>
        </w:tc>
        <w:tc>
          <w:tcPr>
            <w:tcW w:w="408"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1禁止《产业结构调整指导目录》中的“淘汰类”项目入区；</w:t>
            </w:r>
          </w:p>
          <w:p>
            <w:pPr>
              <w:widowControl/>
              <w:jc w:val="left"/>
              <w:textAlignment w:val="cente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禁止引进采用落后的生产工艺或生产设备，高水耗、高物耗、高能耗项目；</w:t>
            </w:r>
          </w:p>
          <w:p>
            <w:pPr>
              <w:widowControl/>
              <w:jc w:val="left"/>
              <w:textAlignment w:val="cente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原则上不再新建单台容量29兆瓦(40蒸吨/小时)以下燃煤锅炉；</w:t>
            </w:r>
          </w:p>
          <w:p>
            <w:pPr>
              <w:widowControl/>
              <w:jc w:val="left"/>
              <w:textAlignment w:val="cente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禁止采用单级漂洗或直接冲洗等落后工艺的企业入区；</w:t>
            </w:r>
          </w:p>
          <w:p>
            <w:pPr>
              <w:widowControl/>
              <w:jc w:val="left"/>
              <w:textAlignment w:val="cente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禁止低于根据《电镀行业清洁生产评价指标体系》（2015年10月</w:t>
            </w:r>
            <w:r>
              <w:rPr>
                <w:rFonts w:hint="eastAsia" w:ascii="Times New Roman" w:hAnsi="Times New Roman" w:eastAsia="仿宋" w:cs="Times New Roman"/>
                <w:color w:val="auto"/>
                <w:kern w:val="0"/>
                <w:szCs w:val="21"/>
                <w:highlight w:val="none"/>
                <w:u w:val="none"/>
                <w:lang w:val="en-US" w:eastAsia="zh-CN"/>
              </w:rPr>
              <w:t>28</w:t>
            </w:r>
            <w:r>
              <w:rPr>
                <w:rFonts w:ascii="Times New Roman" w:hAnsi="Times New Roman" w:eastAsia="仿宋" w:cs="Times New Roman"/>
                <w:color w:val="auto"/>
                <w:kern w:val="0"/>
                <w:szCs w:val="21"/>
                <w:highlight w:val="none"/>
                <w:u w:val="none"/>
              </w:rPr>
              <w:t>日）和《清洁生产标准 电镀行业》（HJ/T314-2006）评定后三级以下的企业入区；</w:t>
            </w:r>
          </w:p>
          <w:p>
            <w:pPr>
              <w:widowControl/>
              <w:jc w:val="left"/>
              <w:textAlignment w:val="cente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入区企业选址应禁止在地下水饮用水水源保护区范围内，避免对水源的影响。</w:t>
            </w:r>
          </w:p>
        </w:tc>
        <w:tc>
          <w:tcPr>
            <w:tcW w:w="958"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46" w:type="pct"/>
            <w:vMerge w:val="continue"/>
            <w:shd w:val="clear" w:color="auto" w:fill="auto"/>
            <w:vAlign w:val="center"/>
          </w:tcPr>
          <w:p>
            <w:pPr>
              <w:autoSpaceDE w:val="0"/>
              <w:autoSpaceDN w:val="0"/>
              <w:adjustRightInd w:val="0"/>
              <w:jc w:val="left"/>
              <w:rPr>
                <w:color w:val="auto"/>
                <w:highlight w:val="none"/>
                <w:u w:val="none"/>
              </w:rPr>
            </w:pPr>
          </w:p>
        </w:tc>
        <w:tc>
          <w:tcPr>
            <w:tcW w:w="497" w:type="pct"/>
            <w:vMerge w:val="continue"/>
            <w:shd w:val="clear" w:color="auto" w:fill="auto"/>
            <w:vAlign w:val="center"/>
          </w:tcPr>
          <w:p>
            <w:pPr>
              <w:autoSpaceDE w:val="0"/>
              <w:autoSpaceDN w:val="0"/>
              <w:adjustRightInd w:val="0"/>
              <w:jc w:val="left"/>
              <w:rPr>
                <w:color w:val="auto"/>
                <w:highlight w:val="none"/>
                <w:u w:val="none"/>
              </w:rPr>
            </w:pPr>
          </w:p>
        </w:tc>
        <w:tc>
          <w:tcPr>
            <w:tcW w:w="408"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1严格限制《产业结构调整指导目录》中的“限制类”项目入区；</w:t>
            </w:r>
          </w:p>
          <w:p>
            <w:pPr>
              <w:widowControl/>
              <w:jc w:val="left"/>
              <w:textAlignment w:val="cente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限制电镀生产企业在生产过程中，镀层金属原料综合利用指标低于以下标准的企业入区：</w:t>
            </w:r>
          </w:p>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镀锌-锌的利用率（钝化前）≥80%；镀铜-铜的利用率≥80%；镀镍-镍的利用率≥92%；装饰铬-铬酐的利用率≥24%；硬铬-铬酐的利用率≥80%。</w:t>
            </w:r>
          </w:p>
        </w:tc>
        <w:tc>
          <w:tcPr>
            <w:tcW w:w="958"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46" w:type="pct"/>
            <w:vMerge w:val="continue"/>
            <w:shd w:val="clear" w:color="auto" w:fill="auto"/>
            <w:vAlign w:val="center"/>
          </w:tcPr>
          <w:p>
            <w:pPr>
              <w:autoSpaceDE w:val="0"/>
              <w:autoSpaceDN w:val="0"/>
              <w:adjustRightInd w:val="0"/>
              <w:jc w:val="left"/>
              <w:rPr>
                <w:color w:val="auto"/>
                <w:highlight w:val="none"/>
                <w:u w:val="none"/>
              </w:rPr>
            </w:pPr>
          </w:p>
        </w:tc>
        <w:tc>
          <w:tcPr>
            <w:tcW w:w="497" w:type="pct"/>
            <w:vMerge w:val="continue"/>
            <w:shd w:val="clear" w:color="auto" w:fill="auto"/>
            <w:vAlign w:val="center"/>
          </w:tcPr>
          <w:p>
            <w:pPr>
              <w:autoSpaceDE w:val="0"/>
              <w:autoSpaceDN w:val="0"/>
              <w:adjustRightInd w:val="0"/>
              <w:jc w:val="left"/>
              <w:rPr>
                <w:color w:val="auto"/>
                <w:highlight w:val="none"/>
                <w:u w:val="none"/>
              </w:rPr>
            </w:pPr>
          </w:p>
        </w:tc>
        <w:tc>
          <w:tcPr>
            <w:tcW w:w="408"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8"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54" w:type="pct"/>
            <w:tcBorders>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1禁止新建、扩建废水经预处理达不到区域污水处理厂接纳标准，可能对污水厂运行造成冲击的项目；</w:t>
            </w:r>
          </w:p>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鼓励区内企业进行节水型工艺改造，提高水的重复利用率；</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3深入推进工业涂装、包装印刷和油品储运销等行业挥发性有机物深度治理，加强挥发性有机物高效收集治理设施建设，实现排气筒与厂界双达标。加快推进挥发性有机物排放重点企业治理和在线监控设施建设,推动挥发性有机物产品源头替代；推进年排放量10吨以上和泄漏点位超过2000个的重点企业建设监测、防控和处理相结合的VOCs治理体系；</w:t>
            </w:r>
          </w:p>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4因地制宜推进清洁供暖，减少民用散烧煤。全面摸清城中村、城乡接合部散煤底数，制定清洁取暖散煤替代方案；</w:t>
            </w:r>
          </w:p>
          <w:p>
            <w:pPr>
              <w:widowControl/>
              <w:jc w:val="left"/>
              <w:textAlignment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依据《关于加强高能耗、高排放建设项目生态环境源头防控的指导意见》（环环评〔2021〕45号）的相关要求，新建、扩建“两高”项目应采用先进适用的工艺技术和装备，单位产品物耗、能耗、水耗等达到清洁生产先进水平；</w:t>
            </w:r>
          </w:p>
          <w:p>
            <w:pPr>
              <w:widowControl/>
              <w:jc w:val="left"/>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6涉重金属企业新增重金属排放量应取得总量指标。</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1推动单台容量25兆瓦(35蒸吨/小时)及以上燃煤供热锅炉实施超低排放改造；</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2强化源头防控，鼓励企业采用先进适用的清洁生产原料、技术、工艺和装备。对排放强度高的重污染行业实施清洁化改造；</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3全面推进污泥处理设施能力建设，现有设施能力不足或工艺落后的要进行扩建、改建，保障污泥无害化处理处置达到国家要求。因地制宜推进污泥资源化利用。2025年，城市污泥无害化处置率达90%以上。</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54" w:type="pct"/>
            <w:tcBorders>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1园区制定环境风险应急预案，成立应急组织机构，定期开展应急演练，提高区域环境风险防范能力。相关企业事业单位与开发区应急预案相衔接，对相关内容进行分解和细化，共同构成开发区突发环境事件应急预案体系；</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2严格管理涉及易导致环境风险的有毒有害和易燃易爆物质的生产、使用、排放、贮运等新建、改扩建项目</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企业风险防控要求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有毒有害物质的有关设施应布置在地势平坦、自然通风良好的地段，不得布置于低洼窝风地段。易燃易爆装置不毗邻生产控制室、配电室。危险化学品布置于厂区边缘、全年主导向下风向的方位。</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7"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54" w:type="pct"/>
            <w:tcBorders>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1鼓励入区企业对工业用水进行重复利用，逐步开展污水处理厂中水利用工程建设；</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widowControl/>
              <w:jc w:val="center"/>
              <w:textAlignment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829" w:type="pct"/>
            <w:tcBorders>
              <w:left w:val="single" w:color="auto" w:sz="4" w:space="0"/>
              <w:right w:val="single" w:color="auto" w:sz="4" w:space="0"/>
            </w:tcBorders>
            <w:shd w:val="clear" w:color="auto" w:fill="auto"/>
            <w:vAlign w:val="center"/>
          </w:tcPr>
          <w:p>
            <w:pPr>
              <w:widowControl/>
              <w:jc w:val="left"/>
              <w:textAlignment w:val="center"/>
              <w:rPr>
                <w:color w:val="auto"/>
                <w:highlight w:val="none"/>
                <w:u w:val="none"/>
              </w:rPr>
            </w:pPr>
            <w:r>
              <w:rPr>
                <w:rFonts w:ascii="Times New Roman" w:hAnsi="Times New Roman" w:eastAsia="仿宋" w:cs="Times New Roman"/>
                <w:color w:val="auto"/>
                <w:kern w:val="0"/>
                <w:szCs w:val="21"/>
                <w:highlight w:val="none"/>
                <w:u w:val="none"/>
              </w:rPr>
              <w:t>禁止新建、扩建燃用高污染燃料的设施</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ZH22010320002</w:t>
            </w:r>
          </w:p>
        </w:tc>
        <w:tc>
          <w:tcPr>
            <w:tcW w:w="49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长春北湖科技开发区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5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2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tc>
        <w:tc>
          <w:tcPr>
            <w:tcW w:w="958" w:type="pct"/>
            <w:vMerge w:val="restart"/>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 w:val="20"/>
                <w:szCs w:val="20"/>
                <w:highlight w:val="none"/>
                <w:u w:val="none"/>
              </w:rPr>
              <w:t>依据：基于“三线”研究成果，结合《污染地块土壤环境管理办法（试行）》《土壤污染防治行动计划》《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禁止引入的项目：①禁止冶金、造纸、制革、农药制造、金属冶炼等对大气及水环境污染严重的项目；②C1351牲畜屠宰、C1352禽类屠宰不得进入该区域。</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5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9根据《中共吉林省委 吉林省人民政府 关于完整准确全面贯彻新发展理念做好碳达峰碳中和工作的实施意见》（2021年11月30日），优化产业结构，推进工业领域绿色化改造，推广应用绿色低碳技术、工艺和装备。强化能耗和二氧化碳排放双控制度。坚持节能优先，严格控制能耗和二氧化碳排放强度，合理控制能源消费总量，探索推进二氧化碳排放总量控制。加强产业布局、结构调整、节能审查与能耗双控的衔接，强化节能监察和执法，开展能耗及二氧化碳排放控制目标分析预警，严格落实目标责任。加强甲烷等非二氧化碳温室气体管控。</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5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5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54"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4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ZH22010320003</w:t>
            </w:r>
          </w:p>
        </w:tc>
        <w:tc>
          <w:tcPr>
            <w:tcW w:w="49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中韩（长春）国际合作示范区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192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4项目选址应尽量避让基本农田，国家重大交通、能源、水利、军事设施等重点建设项目选址确实无法避让永久基本农田的，需按程序报批；</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5开发区重点发展的主要产业为高端装备和智能制造、信息技术、医药、健康食品、特色服务、氢能产业、新能源电池、秸秆产业</w:t>
            </w:r>
            <w:r>
              <w:rPr>
                <w:rFonts w:hint="eastAsia" w:ascii="Times New Roman" w:hAnsi="Times New Roman" w:eastAsia="仿宋" w:cs="Times New Roman"/>
                <w:color w:val="auto"/>
                <w:kern w:val="0"/>
                <w:szCs w:val="21"/>
                <w:highlight w:val="none"/>
                <w:u w:val="none"/>
              </w:rPr>
              <w:t>、永磁、新型材料。</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大气环境高排放重点管控区、水环境工业污染重点管控区、高污染燃料禁燃区</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高端装备和智能制造、信息技术、医药、健康食品、特色服务、氢能产业、新能源电池、秸秆产业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r>
              <w:rPr>
                <w:rFonts w:ascii="Times New Roman" w:hAnsi="Times New Roman" w:eastAsia="仿宋" w:cs="Times New Roman"/>
                <w:color w:val="auto"/>
                <w:sz w:val="20"/>
                <w:szCs w:val="20"/>
                <w:highlight w:val="none"/>
                <w:u w:val="none"/>
              </w:rPr>
              <w:t>《长春市人民政府关于划定高污染燃料禁燃区的通告》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1在充分落实环保措施、对周围环境影响可接受的前提下，允许不符合空间布局的现有项目维持现状；对于其他与产业布局不符的项目，建议进行转产、转型，发展绿色产业，或进行异地搬迁。</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192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2示范区按照串联用水，分质用水、一水多用和循环利用的原则，提高水资源利用率，建设节水型示范区；加快污水收集管网建设，示范区污废水基本实现全收集、全处理；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示范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7737"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根据《长春市人民政府办公厅关于印发长春市空气、水环境、土壤环境质量巩固提升三个行动方案的通知》（长府办发〔2021〕14号），推动单台容量25兆瓦（35蒸吨/小时）及以上燃煤供热锅炉实施超低排放改造。按照最新的政策要求，逐步开展燃煤锅炉淘汰工作。</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rPr>
                <w:color w:val="auto"/>
                <w:highlight w:val="none"/>
                <w:u w:val="none"/>
              </w:rPr>
            </w:pPr>
          </w:p>
        </w:tc>
        <w:tc>
          <w:tcPr>
            <w:tcW w:w="497"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7737"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8"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192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1示范区管委会协助落实土壤污染重点监管企业污染隐患排查、自行监测、拆除生产设备污染防治方案备案等制度；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1成立示范区应急组织机构，建立环境风险应急防控体系，定期开展应急演练，提高区域环境风险防范能力，按时完成示范区应急预案修编。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示范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3健全示范区环境风险防控工程。建立企业、示范区和周边水系环境风险防控体系，建设完善的环境风险防控设施，建设能够有效防止泄漏物以及消防废水等进入示范区外环境的拦截措施。</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46" w:type="pct"/>
            <w:vMerge w:val="continue"/>
            <w:shd w:val="clear" w:color="auto" w:fill="auto"/>
            <w:vAlign w:val="center"/>
          </w:tcPr>
          <w:p>
            <w:pPr>
              <w:widowControl/>
              <w:rPr>
                <w:color w:val="auto"/>
                <w:highlight w:val="none"/>
                <w:u w:val="none"/>
              </w:rPr>
            </w:pPr>
          </w:p>
        </w:tc>
        <w:tc>
          <w:tcPr>
            <w:tcW w:w="497" w:type="pct"/>
            <w:vMerge w:val="continue"/>
            <w:shd w:val="clear" w:color="auto" w:fill="auto"/>
            <w:vAlign w:val="center"/>
          </w:tcPr>
          <w:p>
            <w:pPr>
              <w:widowControl/>
              <w:rPr>
                <w:color w:val="auto"/>
                <w:highlight w:val="none"/>
                <w:u w:val="none"/>
              </w:rPr>
            </w:pPr>
          </w:p>
        </w:tc>
        <w:tc>
          <w:tcPr>
            <w:tcW w:w="408" w:type="pct"/>
            <w:vMerge w:val="continue"/>
            <w:tcBorders>
              <w:right w:val="single" w:color="auto" w:sz="4" w:space="0"/>
            </w:tcBorders>
            <w:shd w:val="clear" w:color="auto" w:fill="auto"/>
            <w:vAlign w:val="center"/>
          </w:tcPr>
          <w:p>
            <w:pPr>
              <w:widowControl/>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企业环境风险</w:t>
            </w:r>
          </w:p>
          <w:p>
            <w:pPr>
              <w:jc w:val="center"/>
              <w:rPr>
                <w:color w:val="auto"/>
                <w:highlight w:val="none"/>
                <w:u w:val="none"/>
              </w:rPr>
            </w:pPr>
            <w:r>
              <w:rPr>
                <w:rFonts w:ascii="Times New Roman" w:hAnsi="Times New Roman" w:eastAsia="仿宋" w:cs="Times New Roman"/>
                <w:color w:val="auto"/>
                <w:kern w:val="0"/>
                <w:szCs w:val="21"/>
                <w:highlight w:val="none"/>
                <w:u w:val="none"/>
              </w:rPr>
              <w:t>防控要求</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8"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192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7737"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w:t>
            </w:r>
            <w:r>
              <w:rPr>
                <w:rFonts w:hint="eastAsia" w:ascii="Times New Roman" w:eastAsia="仿宋"/>
                <w:color w:val="auto"/>
                <w:kern w:val="0"/>
                <w:szCs w:val="21"/>
                <w:highlight w:val="none"/>
                <w:u w:val="none"/>
              </w:rPr>
              <w:t>用水量、水资源利用效率等指标完成上级部门下达的任务要求。</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737"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737"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446" w:type="pct"/>
            <w:vMerge w:val="continue"/>
            <w:shd w:val="clear" w:color="auto" w:fill="auto"/>
            <w:vAlign w:val="center"/>
          </w:tcPr>
          <w:p>
            <w:pPr>
              <w:jc w:val="left"/>
              <w:rPr>
                <w:color w:val="auto"/>
                <w:highlight w:val="none"/>
                <w:u w:val="none"/>
              </w:rPr>
            </w:pPr>
          </w:p>
        </w:tc>
        <w:tc>
          <w:tcPr>
            <w:tcW w:w="497" w:type="pct"/>
            <w:vMerge w:val="continue"/>
            <w:shd w:val="clear" w:color="auto" w:fill="auto"/>
            <w:vAlign w:val="center"/>
          </w:tcPr>
          <w:p>
            <w:pPr>
              <w:jc w:val="left"/>
              <w:rPr>
                <w:color w:val="auto"/>
                <w:highlight w:val="none"/>
                <w:u w:val="none"/>
              </w:rPr>
            </w:pPr>
          </w:p>
        </w:tc>
        <w:tc>
          <w:tcPr>
            <w:tcW w:w="408"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92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737"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示范区不涉及禁燃区。</w:t>
            </w:r>
          </w:p>
        </w:tc>
        <w:tc>
          <w:tcPr>
            <w:tcW w:w="958"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ZH22010320004</w:t>
            </w:r>
          </w:p>
        </w:tc>
        <w:tc>
          <w:tcPr>
            <w:tcW w:w="49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宽城区城镇开发边界</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3"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color w:val="auto"/>
                <w:sz w:val="20"/>
                <w:szCs w:val="20"/>
                <w:highlight w:val="none"/>
                <w:u w:val="none"/>
              </w:rPr>
              <w:t>加快铁北老工业基地改造及“退二进三”步伐，调整区域城市功能结构；积极建设环铁交通枢纽及商品流通中心。</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83"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长春市人民政府关于划定高污染燃料禁燃区的通告》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ZH22010320005</w:t>
            </w:r>
          </w:p>
        </w:tc>
        <w:tc>
          <w:tcPr>
            <w:tcW w:w="49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宽城区大气环境布局敏感重点管控区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大气环境布局敏感重点管控区、建设用地污染风险重点管控区、高污染燃料禁燃区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一单”研究成果提出，《吉林省生态环境保护“十四五”规划》《污染地块土壤环境管理办法（试行）》《土壤污染防治行动计划》《工矿用地土壤环境管理办法（试行）》《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83"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bookmarkStart w:id="19" w:name="_Toc27572334"/>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83"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长春市人民政府关于划定高污染燃料禁燃区的通告》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注：吉林八大部－净月潭国家级风景名胜区面积为0.76平方千米，占比0.06%，各地区部门间联合管控。</w:t>
      </w:r>
    </w:p>
    <w:p>
      <w:pPr>
        <w:pStyle w:val="19"/>
        <w:rPr>
          <w:rFonts w:ascii="Times New Roman" w:hAnsi="Times New Roman" w:eastAsia="仿宋" w:cs="Times New Roman"/>
          <w:color w:val="auto"/>
          <w:highlight w:val="none"/>
          <w:u w:val="none"/>
        </w:rPr>
      </w:pPr>
    </w:p>
    <w:bookmarkEnd w:id="19"/>
    <w:p>
      <w:pPr>
        <w:keepNext/>
        <w:keepLines/>
        <w:outlineLvl w:val="1"/>
        <w:rPr>
          <w:rFonts w:ascii="Times New Roman" w:hAnsi="Times New Roman" w:eastAsia="仿宋" w:cs="Times New Roman"/>
          <w:b/>
          <w:bCs/>
          <w:color w:val="auto"/>
          <w:sz w:val="32"/>
          <w:szCs w:val="32"/>
          <w:highlight w:val="none"/>
          <w:u w:val="none"/>
        </w:rPr>
      </w:pPr>
      <w:bookmarkStart w:id="20" w:name="_Toc7165"/>
      <w:bookmarkStart w:id="21" w:name="_Toc26184"/>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三</w:t>
      </w:r>
      <w:r>
        <w:rPr>
          <w:rFonts w:ascii="Times New Roman" w:hAnsi="Times New Roman" w:eastAsia="仿宋" w:cs="Times New Roman"/>
          <w:b/>
          <w:bCs/>
          <w:color w:val="auto"/>
          <w:sz w:val="32"/>
          <w:szCs w:val="32"/>
          <w:highlight w:val="none"/>
          <w:u w:val="none"/>
        </w:rPr>
        <w:t>）长春市朝阳区</w:t>
      </w:r>
      <w:bookmarkEnd w:id="11"/>
      <w:r>
        <w:rPr>
          <w:rFonts w:ascii="Times New Roman" w:hAnsi="Times New Roman" w:eastAsia="仿宋" w:cs="Times New Roman"/>
          <w:b/>
          <w:bCs/>
          <w:color w:val="auto"/>
          <w:sz w:val="32"/>
          <w:szCs w:val="32"/>
          <w:highlight w:val="none"/>
          <w:u w:val="none"/>
        </w:rPr>
        <w:t>生态环境准入清单</w:t>
      </w:r>
      <w:bookmarkEnd w:id="20"/>
      <w:bookmarkEnd w:id="21"/>
    </w:p>
    <w:p>
      <w:pPr>
        <w:jc w:val="center"/>
        <w:rPr>
          <w:rFonts w:ascii="Times New Roman" w:hAnsi="Times New Roman" w:eastAsia="仿宋" w:cs="Times New Roman"/>
          <w:b/>
          <w:color w:val="auto"/>
          <w:highlight w:val="none"/>
          <w:u w:val="none"/>
        </w:rPr>
      </w:pPr>
      <w:bookmarkStart w:id="22" w:name="_Toc27572320"/>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3-3</w:t>
      </w:r>
      <w:r>
        <w:rPr>
          <w:rFonts w:ascii="Times New Roman" w:hAnsi="Times New Roman" w:eastAsia="仿宋" w:cs="Times New Roman"/>
          <w:b/>
          <w:color w:val="auto"/>
          <w:highlight w:val="none"/>
          <w:u w:val="none"/>
        </w:rPr>
        <w:t>-1 长春市朝阳区区域特征研判</w:t>
      </w:r>
      <w:bookmarkEnd w:id="22"/>
    </w:p>
    <w:tbl>
      <w:tblPr>
        <w:tblStyle w:val="20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1.《吉林省主体功能区规划》中的国家级重点开发区域——长吉图经济区。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位于吉林省中部，伊通河上游，省会长春市中南部，面积237平方公里（其中建成区37.78平方公里），人口70余万人，下设9个街道、53个社区，永春、乐山2个镇、24个村，以及1个省级开发区——长春朝阳经济开发区。</w:t>
            </w:r>
          </w:p>
        </w:tc>
        <w:tc>
          <w:tcPr>
            <w:tcW w:w="161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依托现有资源禀赋、区位优势和产业基础，结合长春推动高质量发展“四大板块”发展战略，立足“一核三区”空间布局，以集聚发展、创新发展、融合发展为统领，细化板块内部功能分区，加强协同发展，形成“一核带三区”、“三区促一核”的高质量发展格局。加快实施“产业兴区、服务业强区”战略，突出发展“两大支柱产业、三大重点产业”，将现代商贸服务业、汽车零部件制造业打造成为朝阳区经济发展的支柱产业，重点发展信息技术服务业、金融服务业、文旅康养业，形成“2+3”产业布局。坚持科技创新带动产业创新、市场创新、管理创新，在产业升级、产业链完善和创新链拓展方面下功夫，提升自主创新能力，加强产业融合，全面推动服务提升、消费提升、环境提升，把朝阳建设成为“高端产业集聚区”。到2035年，在实现全面振兴全方位振兴基础上，努力在全面建设社会主义现代化国家新征程中走在全省前列。</w:t>
            </w:r>
          </w:p>
        </w:tc>
        <w:tc>
          <w:tcPr>
            <w:tcW w:w="116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1.重点保护</w:t>
            </w:r>
          </w:p>
          <w:p>
            <w:pPr>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吉林长春新立湖国家湿地公园、新立城水库，黑土地资源。</w:t>
            </w:r>
          </w:p>
          <w:p>
            <w:pPr>
              <w:rPr>
                <w:rFonts w:ascii="Times New Roman" w:hAnsi="Times New Roman" w:eastAsia="仿宋" w:cs="Times New Roman"/>
                <w:bCs/>
                <w:color w:val="auto"/>
                <w:kern w:val="0"/>
                <w:szCs w:val="21"/>
                <w:highlight w:val="none"/>
                <w:u w:val="none"/>
              </w:rPr>
            </w:pPr>
          </w:p>
        </w:tc>
      </w:tr>
    </w:tbl>
    <w:p>
      <w:pPr>
        <w:jc w:val="center"/>
        <w:rPr>
          <w:rFonts w:ascii="Times New Roman" w:hAnsi="Times New Roman" w:eastAsia="仿宋" w:cs="Times New Roman"/>
          <w:b/>
          <w:color w:val="auto"/>
          <w:highlight w:val="none"/>
          <w:u w:val="none"/>
        </w:rPr>
      </w:pPr>
      <w:bookmarkStart w:id="23" w:name="_Toc27572321"/>
    </w:p>
    <w:p>
      <w:pPr>
        <w:jc w:val="center"/>
        <w:rPr>
          <w:rFonts w:ascii="Times New Roman" w:hAnsi="Times New Roman" w:eastAsia="仿宋" w:cs="Times New Roman"/>
          <w:b/>
          <w:color w:val="auto"/>
          <w:highlight w:val="none"/>
          <w:u w:val="none"/>
        </w:rPr>
      </w:pPr>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3-3</w:t>
      </w:r>
      <w:r>
        <w:rPr>
          <w:rFonts w:ascii="Times New Roman" w:hAnsi="Times New Roman" w:eastAsia="仿宋" w:cs="Times New Roman"/>
          <w:b/>
          <w:color w:val="auto"/>
          <w:highlight w:val="none"/>
          <w:u w:val="none"/>
        </w:rPr>
        <w:t>-2 长春市朝阳区生态环境准入清单</w:t>
      </w:r>
      <w:bookmarkEnd w:id="23"/>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31"/>
        <w:gridCol w:w="2119"/>
        <w:gridCol w:w="1726"/>
        <w:gridCol w:w="1789"/>
        <w:gridCol w:w="1903"/>
        <w:gridCol w:w="7736"/>
        <w:gridCol w:w="40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01"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08"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79"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55"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ZH22010410001</w:t>
            </w:r>
          </w:p>
        </w:tc>
        <w:tc>
          <w:tcPr>
            <w:tcW w:w="501"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吉林长春新立湖国家湿地公园</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w:t>
            </w:r>
            <w:r>
              <w:rPr>
                <w:rFonts w:hint="eastAsia" w:ascii="Times New Roman" w:hAnsi="Times New Roman" w:eastAsia="仿宋" w:cs="Times New Roman"/>
                <w:color w:val="auto"/>
                <w:sz w:val="20"/>
                <w:szCs w:val="20"/>
                <w:highlight w:val="none"/>
                <w:u w:val="none"/>
              </w:rPr>
              <w:t>湿地公园</w:t>
            </w:r>
            <w:r>
              <w:rPr>
                <w:rFonts w:ascii="Times New Roman" w:hAnsi="Times New Roman" w:eastAsia="仿宋" w:cs="Times New Roman"/>
                <w:color w:val="auto"/>
                <w:sz w:val="20"/>
                <w:szCs w:val="20"/>
                <w:highlight w:val="none"/>
                <w:u w:val="none"/>
              </w:rPr>
              <w:t>执行《中华人民共和国湿地保护法》《湿地保护管理规定》</w:t>
            </w:r>
            <w:r>
              <w:rPr>
                <w:rFonts w:hint="eastAsia" w:ascii="Times New Roman" w:hAnsi="Times New Roman" w:eastAsia="仿宋" w:cs="Times New Roman"/>
                <w:color w:val="auto"/>
                <w:sz w:val="20"/>
                <w:szCs w:val="20"/>
                <w:highlight w:val="none"/>
                <w:u w:val="none"/>
              </w:rPr>
              <w:t>《国家级自然公园管理办法（试行）》</w:t>
            </w:r>
            <w:r>
              <w:rPr>
                <w:rFonts w:ascii="Times New Roman" w:hAnsi="Times New Roman" w:eastAsia="仿宋" w:cs="Times New Roman"/>
                <w:color w:val="auto"/>
                <w:sz w:val="20"/>
                <w:szCs w:val="20"/>
                <w:highlight w:val="none"/>
                <w:u w:val="none"/>
              </w:rPr>
              <w:t>《吉林省湿地保护条例》《关于特别是作为水禽栖息地的国际重要湿地公约》相关要求。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w:t>
            </w:r>
            <w:r>
              <w:rPr>
                <w:rFonts w:hint="eastAsia" w:ascii="Times New Roman" w:hAnsi="Times New Roman" w:eastAsia="仿宋" w:cs="Times New Roman"/>
                <w:color w:val="auto"/>
                <w:sz w:val="20"/>
                <w:szCs w:val="20"/>
                <w:highlight w:val="none"/>
                <w:u w:val="none"/>
              </w:rPr>
              <w:t>饮用水水源保护区</w:t>
            </w:r>
            <w:r>
              <w:rPr>
                <w:rFonts w:ascii="Times New Roman" w:hAnsi="Times New Roman" w:eastAsia="仿宋" w:cs="Times New Roman"/>
                <w:color w:val="auto"/>
                <w:sz w:val="20"/>
                <w:szCs w:val="20"/>
                <w:highlight w:val="none"/>
                <w:u w:val="none"/>
              </w:rPr>
              <w:t>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生态保护红线、水环境优先保护区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湿地公园、饮用水水源保护区、水土保持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ZH22010410002</w:t>
            </w:r>
          </w:p>
        </w:tc>
        <w:tc>
          <w:tcPr>
            <w:tcW w:w="501"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吉林八大部－净月潭国家级风景名胜区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color w:val="auto"/>
                <w:sz w:val="20"/>
                <w:szCs w:val="20"/>
                <w:highlight w:val="none"/>
                <w:u w:val="none"/>
              </w:rPr>
            </w:pPr>
            <w:r>
              <w:rPr>
                <w:rFonts w:ascii="Times New Roman" w:hAnsi="Times New Roman" w:eastAsia="仿宋" w:cs="Times New Roman"/>
                <w:bCs/>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bCs/>
                <w:color w:val="auto"/>
                <w:sz w:val="20"/>
                <w:szCs w:val="20"/>
                <w:highlight w:val="none"/>
                <w:u w:val="none"/>
              </w:rPr>
            </w:pPr>
            <w:r>
              <w:rPr>
                <w:rFonts w:ascii="Times New Roman" w:hAnsi="Times New Roman" w:eastAsia="仿宋" w:cs="Times New Roman"/>
                <w:bCs/>
                <w:color w:val="auto"/>
                <w:sz w:val="20"/>
                <w:szCs w:val="20"/>
                <w:highlight w:val="none"/>
                <w:u w:val="none"/>
              </w:rPr>
              <w:t>2风景名胜区执行《风景名胜区条例》相关要求。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一般生态空间、大气环境优先保护区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ZH22010410003</w:t>
            </w:r>
          </w:p>
        </w:tc>
        <w:tc>
          <w:tcPr>
            <w:tcW w:w="501"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长春市新立城水库饮用水水源保护区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一般生态空间、水环境优先保护区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ZH22010410004</w:t>
            </w:r>
          </w:p>
        </w:tc>
        <w:tc>
          <w:tcPr>
            <w:tcW w:w="501"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朝阳区中部台地水土保持功能生态保护红线</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生态保护红线、水环境优先保护区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ZH22010410005</w:t>
            </w:r>
          </w:p>
        </w:tc>
        <w:tc>
          <w:tcPr>
            <w:tcW w:w="501"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朝阳区松嫩平原水土保持功能生态保护红线</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生态保护红线、水环境优先保护区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3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ZH22010420001</w:t>
            </w:r>
          </w:p>
        </w:tc>
        <w:tc>
          <w:tcPr>
            <w:tcW w:w="50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长春朝阳经济开发区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允许开发建设活动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4富锋新区以生活服务为主；汽车零部件产业园（智能网联及新能源汽车供应链产业园）以汽车零部件为主导产业，发展智能汽车、新能源汽车配套零部件的研发与制造、完善装备制造业；汽车后服务产业园加快生产性服务业和现代商务服务业发展；健康医药产业园培育健康医药产业；现代物流园汽车物流为主；创意产业以文化创意产业为主导。</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“长春国际汽车城”汽车零部件产业重要区域</w:t>
            </w:r>
            <w:r>
              <w:rPr>
                <w:rFonts w:ascii="Times New Roman" w:hAnsi="Times New Roman" w:eastAsia="仿宋" w:cs="Times New Roman"/>
                <w:b/>
                <w:bCs/>
                <w:color w:val="auto"/>
                <w:kern w:val="0"/>
                <w:sz w:val="20"/>
                <w:szCs w:val="20"/>
                <w:highlight w:val="none"/>
                <w:u w:val="none"/>
              </w:rPr>
              <w:t>、</w:t>
            </w:r>
            <w:r>
              <w:rPr>
                <w:rFonts w:ascii="Times New Roman" w:hAnsi="Times New Roman" w:eastAsia="仿宋" w:cs="Times New Roman"/>
                <w:color w:val="auto"/>
                <w:sz w:val="20"/>
                <w:szCs w:val="20"/>
                <w:highlight w:val="none"/>
                <w:u w:val="none"/>
              </w:rPr>
              <w:t xml:space="preserve">吉林省智能网联及新能源汽车供应链产业园 </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富锋新区以生活服务为主；汽车零部件产业园（智能网联及新能源汽车供应链产业园）以汽车零部件为主导产业，发展智能汽车、新能源汽车配套零部件的研发与制造、完善装备制造业；汽车后服务产业园加快生产性服务业和现代商务服务业发展；健康医药产业园培育健康医药产业；现代物流园汽车物流为主；创意产业以文化创意产业为主导</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禁止开发建设活动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不符合开发区产业发展方向，能耗、物耗较大，污染较重的项目；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对大气及水环境污染严重的项目，或是耗水量较大的项目；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废水排放量大的生产项目；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排放重金属、难降解有机污染物的项目；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高污染、高耗能项目；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7</w:t>
            </w:r>
            <w:r>
              <w:rPr>
                <w:rFonts w:ascii="Times New Roman" w:hAnsi="Times New Roman" w:eastAsia="仿宋" w:cs="Times New Roman"/>
                <w:color w:val="auto"/>
                <w:kern w:val="0"/>
                <w:szCs w:val="21"/>
                <w:highlight w:val="none"/>
                <w:u w:val="none"/>
              </w:rPr>
              <w:t>造纸、水泥、钢铁、炼钢生产项目；</w:t>
            </w:r>
          </w:p>
          <w:p>
            <w:pPr>
              <w:rPr>
                <w:rFonts w:ascii="Times New Roman" w:hAnsi="Times New Roman" w:eastAsia="仿宋" w:cs="Times New Roman"/>
                <w:color w:val="auto"/>
                <w:kern w:val="0"/>
                <w:sz w:val="21"/>
                <w:szCs w:val="21"/>
                <w:highlight w:val="none"/>
                <w:u w:val="none"/>
                <w:lang w:val="en-US" w:eastAsia="zh-CN" w:bidi="ar-SA"/>
              </w:rPr>
            </w:pPr>
            <w:r>
              <w:rPr>
                <w:rFonts w:hint="eastAsia" w:ascii="Times New Roman" w:hAnsi="Times New Roman" w:eastAsia="仿宋" w:cs="Times New Roman"/>
                <w:color w:val="auto"/>
                <w:kern w:val="0"/>
                <w:szCs w:val="21"/>
                <w:highlight w:val="none"/>
                <w:u w:val="none"/>
                <w:lang w:val="en-US" w:eastAsia="zh-CN"/>
              </w:rPr>
              <w:t>8</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限制开发建设活动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污染治理难度大，对生态环境影响严重的污染行业；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粉尘排放量大的建材项目、建材行业；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大气环境影响较大，产生异味气体、粉尘污染严重的企业；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三类工业企业（盛家村区域）；</w:t>
            </w:r>
          </w:p>
          <w:p>
            <w:pPr>
              <w:rPr>
                <w:rFonts w:ascii="Times New Roman" w:hAnsi="Times New Roman" w:eastAsia="仿宋" w:cs="Times New Roman"/>
                <w:color w:val="auto"/>
                <w:kern w:val="0"/>
                <w:sz w:val="21"/>
                <w:szCs w:val="21"/>
                <w:highlight w:val="none"/>
                <w:u w:val="none"/>
                <w:lang w:val="en-US" w:eastAsia="zh-CN" w:bidi="ar-SA"/>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其他国家及地方明令限制生产的建设项目。</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退出要求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rFonts w:ascii="Times New Roman" w:hAnsi="Times New Roman" w:eastAsia="仿宋" w:cs="Times New Roman"/>
                <w:color w:val="auto"/>
                <w:kern w:val="0"/>
                <w:sz w:val="21"/>
                <w:szCs w:val="21"/>
                <w:highlight w:val="none"/>
                <w:u w:val="none"/>
                <w:lang w:val="en-US" w:eastAsia="zh-CN" w:bidi="ar-SA"/>
              </w:rPr>
            </w:pPr>
            <w:r>
              <w:rPr>
                <w:rFonts w:ascii="Times New Roman" w:hAnsi="Times New Roman" w:eastAsia="仿宋" w:cs="Times New Roman"/>
                <w:color w:val="auto"/>
                <w:kern w:val="0"/>
                <w:szCs w:val="21"/>
                <w:highlight w:val="none"/>
                <w:u w:val="none"/>
              </w:rPr>
              <w:t>2不符合用地规划的企业，禁止改扩建，视企业对区域环境影响程度，必要时进行搬迁。</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通过富锋污水处理厂中水回用装置的建设，落实开发区中水回用用户，提高水资源利用率。可采取技术性和管理性节水措施；园区实施雨污分流制，建设完善的雨水管网系统和污水收集的排水管网系统；收集污水进入污水处理厂处理后达标排放；制定排水管网改造方案，尽快将二期区域迎新单元和三期单元排水体制由雨污合流改造为雨污分流制；</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3推进集中供热，未接通管线的企业采用燃气锅炉替换燃煤小锅炉；</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园区内鼓励、支持企业开展ISO14000（环境管理体系）认证；入区企业清洁生产水平应达到二级指标以上，对于不能达到二级标准的，要求企业采取相应的改进措施，使期清洁生产水平达到二级标准；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2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5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1903"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水资源利用</w:t>
            </w:r>
          </w:p>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效率要求</w:t>
            </w:r>
          </w:p>
        </w:tc>
        <w:tc>
          <w:tcPr>
            <w:tcW w:w="7736"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6"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03"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736"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03"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736"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53"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03"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736"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72" w:hRule="atLeast"/>
          <w:jc w:val="center"/>
        </w:trPr>
        <w:tc>
          <w:tcPr>
            <w:tcW w:w="43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ZH22010420002</w:t>
            </w:r>
          </w:p>
        </w:tc>
        <w:tc>
          <w:tcPr>
            <w:tcW w:w="50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长春高新技术产业开发区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450"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允许开发建设活动</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widowControl/>
              <w:adjustRightInd w:val="0"/>
              <w:snapToGrid w:val="0"/>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4开发区重点发展的产业为光电子与信息产业、汽车及零部件产业、动漫及相关产业、生物与医药产业、文化创意、信息软件及检测服务业、电气机械和设备制造业、软件及服务外包产业、先进装备制造业、新能源产业、新材料产业。</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创新经济发展示范区、新一轮东北振兴重要引擎、体制机制改革先行区</w:t>
            </w:r>
          </w:p>
          <w:p>
            <w:pPr>
              <w:jc w:val="left"/>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光电子与信息产业、汽车及零部件产业、动漫及相关产业、生物与医药产业、文化创意、信息软件及检测服务业、电气机械和设备制造业、软件及服务外包产业、先进装备制造业、新能源产业、新材料产业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禁止开发建设活动</w:t>
            </w:r>
          </w:p>
        </w:tc>
        <w:tc>
          <w:tcPr>
            <w:tcW w:w="18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w:t>
            </w:r>
            <w:r>
              <w:rPr>
                <w:rFonts w:ascii="Times New Roman" w:hAnsi="Times New Roman" w:eastAsia="仿宋" w:cs="Times New Roman"/>
                <w:color w:val="auto"/>
                <w:kern w:val="0"/>
                <w:szCs w:val="21"/>
                <w:highlight w:val="none"/>
                <w:u w:val="none"/>
              </w:rPr>
              <w:t>禁止引入的项目：</w:t>
            </w:r>
            <w:r>
              <w:rPr>
                <w:rFonts w:ascii="Times New Roman" w:hAnsi="Times New Roman" w:eastAsia="仿宋" w:cs="Times New Roman"/>
                <w:bCs/>
                <w:color w:val="auto"/>
                <w:kern w:val="0"/>
                <w:szCs w:val="21"/>
                <w:highlight w:val="none"/>
                <w:u w:val="none"/>
              </w:rPr>
              <w:t>农药项目，使用传染性或潜在传染性材料的实验室及项目，进行手工胶囊填充工艺、软木塞烫腊包装药品工艺的项目，采掘、冶金、</w:t>
            </w:r>
            <w:r>
              <w:rPr>
                <w:rFonts w:ascii="Times New Roman" w:hAnsi="Times New Roman" w:eastAsia="仿宋" w:cs="Times New Roman"/>
                <w:color w:val="auto"/>
                <w:kern w:val="0"/>
                <w:sz w:val="20"/>
                <w:szCs w:val="20"/>
                <w:highlight w:val="none"/>
                <w:u w:val="none"/>
                <w:lang w:bidi="ar"/>
              </w:rPr>
              <w:t>化学合成类制药</w:t>
            </w:r>
            <w:r>
              <w:rPr>
                <w:rFonts w:ascii="Times New Roman" w:hAnsi="Times New Roman" w:eastAsia="仿宋" w:cs="Times New Roman"/>
                <w:bCs/>
                <w:color w:val="auto"/>
                <w:kern w:val="0"/>
                <w:szCs w:val="21"/>
                <w:highlight w:val="none"/>
                <w:u w:val="none"/>
              </w:rPr>
              <w:t>、化工、造纸、制革等六类工业；禁止引进稀土材料等污染严重的新材料行业。</w:t>
            </w:r>
          </w:p>
          <w:p>
            <w:pPr>
              <w:widowControl/>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2禁止不符合开发区总体规划或产业规划项目入区；</w:t>
            </w:r>
          </w:p>
          <w:p>
            <w:pPr>
              <w:widowControl/>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3</w:t>
            </w:r>
            <w:r>
              <w:rPr>
                <w:rFonts w:ascii="Times New Roman" w:hAnsi="Times New Roman" w:eastAsia="仿宋" w:cs="Times New Roman"/>
                <w:color w:val="auto"/>
                <w:kern w:val="0"/>
                <w:szCs w:val="21"/>
                <w:highlight w:val="none"/>
                <w:u w:val="none"/>
              </w:rPr>
              <w:t>建成区原则上不再新建单台容</w:t>
            </w:r>
            <w:r>
              <w:rPr>
                <w:rFonts w:ascii="Times New Roman" w:hAnsi="Times New Roman" w:eastAsia="仿宋" w:cs="Times New Roman"/>
                <w:bCs/>
                <w:color w:val="auto"/>
                <w:kern w:val="0"/>
                <w:szCs w:val="21"/>
                <w:highlight w:val="none"/>
                <w:u w:val="none"/>
              </w:rPr>
              <w:t>量29兆瓦（40蒸吨/小时）以下燃煤锅炉，其他区域原则上不再新建单台容量14兆瓦（20蒸吨/小时）以下的燃煤锅炉；</w:t>
            </w:r>
          </w:p>
          <w:p>
            <w:pPr>
              <w:widowControl/>
              <w:jc w:val="left"/>
              <w:rPr>
                <w:rFonts w:hint="eastAsia" w:ascii="Times New Roman" w:hAnsi="Times New Roman" w:eastAsia="仿宋" w:cs="Times New Roman"/>
                <w:bCs/>
                <w:color w:val="auto"/>
                <w:kern w:val="0"/>
                <w:szCs w:val="21"/>
                <w:highlight w:val="none"/>
                <w:u w:val="none"/>
                <w:lang w:eastAsia="zh-CN"/>
              </w:rPr>
            </w:pPr>
            <w:r>
              <w:rPr>
                <w:rFonts w:ascii="Times New Roman" w:hAnsi="Times New Roman" w:eastAsia="仿宋" w:cs="Times New Roman"/>
                <w:bCs/>
                <w:color w:val="auto"/>
                <w:kern w:val="0"/>
                <w:szCs w:val="21"/>
                <w:highlight w:val="none"/>
                <w:u w:val="none"/>
              </w:rPr>
              <w:t>4禁止《产业结构调整指导目录》中的“淘汰类”项目</w:t>
            </w:r>
            <w:r>
              <w:rPr>
                <w:rFonts w:hint="eastAsia" w:ascii="Times New Roman" w:hAnsi="Times New Roman" w:eastAsia="仿宋" w:cs="Times New Roman"/>
                <w:bCs/>
                <w:color w:val="auto"/>
                <w:kern w:val="0"/>
                <w:szCs w:val="21"/>
                <w:highlight w:val="none"/>
                <w:u w:val="none"/>
                <w:lang w:eastAsia="zh-CN"/>
              </w:rPr>
              <w:t>；</w:t>
            </w:r>
          </w:p>
          <w:p>
            <w:pPr>
              <w:widowControl/>
              <w:adjustRightInd w:val="0"/>
              <w:snapToGrid w:val="0"/>
              <w:jc w:val="left"/>
              <w:rPr>
                <w:color w:val="auto"/>
                <w:highlight w:val="none"/>
                <w:u w:val="none"/>
              </w:rPr>
            </w:pPr>
            <w:r>
              <w:rPr>
                <w:rFonts w:hint="eastAsia" w:ascii="Times New Roman" w:hAnsi="Times New Roman" w:eastAsia="仿宋" w:cs="Times New Roman"/>
                <w:bCs/>
                <w:color w:val="auto"/>
                <w:kern w:val="0"/>
                <w:szCs w:val="21"/>
                <w:highlight w:val="none"/>
                <w:u w:val="none"/>
                <w:lang w:val="en-US" w:eastAsia="zh-CN"/>
              </w:rPr>
              <w:t>5</w:t>
            </w:r>
            <w:r>
              <w:rPr>
                <w:rFonts w:ascii="Times New Roman" w:hAnsi="Times New Roman" w:eastAsia="仿宋" w:cs="Times New Roman"/>
                <w:bCs/>
                <w:color w:val="auto"/>
                <w:kern w:val="0"/>
                <w:szCs w:val="21"/>
                <w:highlight w:val="none"/>
                <w:u w:val="none"/>
              </w:rPr>
              <w:t>.禁止新建水环境污染严重的项目；严格限制涉重企业入区，新增的重金属总量须征得相关主管部门批准后，方可实施。</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限制开发建设活动</w:t>
            </w:r>
          </w:p>
        </w:tc>
        <w:tc>
          <w:tcPr>
            <w:tcW w:w="1829" w:type="pct"/>
            <w:tcBorders>
              <w:left w:val="single" w:color="auto" w:sz="4" w:space="0"/>
              <w:right w:val="single" w:color="auto" w:sz="4" w:space="0"/>
            </w:tcBorders>
            <w:shd w:val="clear" w:color="auto" w:fill="auto"/>
            <w:vAlign w:val="center"/>
          </w:tcPr>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w:t>
            </w:r>
            <w:r>
              <w:rPr>
                <w:rFonts w:ascii="Times New Roman" w:hAnsi="Times New Roman" w:eastAsia="仿宋" w:cs="Times New Roman"/>
                <w:color w:val="auto"/>
                <w:kern w:val="0"/>
                <w:szCs w:val="21"/>
                <w:highlight w:val="none"/>
                <w:u w:val="none"/>
              </w:rPr>
              <w:t>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p>
            <w:pPr>
              <w:widowControl/>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2严格限制涉重企业入区，新增的重金属总量须征得相关主管部门批准后，方可实施；</w:t>
            </w:r>
          </w:p>
          <w:p>
            <w:pPr>
              <w:widowControl/>
              <w:adjustRightInd w:val="0"/>
              <w:snapToGrid w:val="0"/>
              <w:jc w:val="left"/>
              <w:rPr>
                <w:rFonts w:hint="eastAsia" w:eastAsia="仿宋"/>
                <w:color w:val="auto"/>
                <w:highlight w:val="none"/>
                <w:u w:val="none"/>
                <w:lang w:eastAsia="zh-CN"/>
              </w:rPr>
            </w:pPr>
            <w:r>
              <w:rPr>
                <w:rFonts w:ascii="Times New Roman" w:hAnsi="Times New Roman" w:eastAsia="仿宋" w:cs="Times New Roman"/>
                <w:bCs/>
                <w:color w:val="auto"/>
                <w:kern w:val="0"/>
                <w:szCs w:val="21"/>
                <w:highlight w:val="none"/>
                <w:u w:val="none"/>
              </w:rPr>
              <w:t>3严格限制《产业结构调整指导目录》中的“限制类”项目入区</w:t>
            </w:r>
            <w:r>
              <w:rPr>
                <w:rFonts w:hint="eastAsia" w:ascii="Times New Roman" w:hAnsi="Times New Roman" w:eastAsia="仿宋" w:cs="Times New Roman"/>
                <w:bCs/>
                <w:color w:val="auto"/>
                <w:kern w:val="0"/>
                <w:szCs w:val="21"/>
                <w:highlight w:val="none"/>
                <w:u w:val="none"/>
                <w:lang w:eastAsia="zh-CN"/>
              </w:rPr>
              <w:t>。</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不符合空间布局活动的</w:t>
            </w:r>
          </w:p>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退出要求</w:t>
            </w:r>
          </w:p>
        </w:tc>
        <w:tc>
          <w:tcPr>
            <w:tcW w:w="1829" w:type="pct"/>
            <w:tcBorders>
              <w:left w:val="single" w:color="auto" w:sz="4" w:space="0"/>
              <w:right w:val="single" w:color="auto" w:sz="4" w:space="0"/>
            </w:tcBorders>
            <w:shd w:val="clear" w:color="auto" w:fill="auto"/>
            <w:vAlign w:val="center"/>
          </w:tcPr>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1在充分落实环保措施、对周围环境影响可接受的前提下，允许不符合空间布局的现有项目进行改扩建工程；</w:t>
            </w:r>
          </w:p>
          <w:p>
            <w:pPr>
              <w:adjustRightInd w:val="0"/>
              <w:snapToGrid w:val="0"/>
              <w:jc w:val="left"/>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2用地冲突企业，在取得合法土地使用证前，禁止扩建和扩大厂区；</w:t>
            </w:r>
          </w:p>
          <w:p>
            <w:pPr>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3现有不符合开发区产业发展方向和环境保护要求的企业应逐步升级改造或搬迁、淘汰；尽快制定拆除搬迁方案，明确搬迁时限。</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50"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总量控制和污染物减排</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现有源提标升级改造</w:t>
            </w:r>
          </w:p>
        </w:tc>
        <w:tc>
          <w:tcPr>
            <w:tcW w:w="1829"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推动单台容量25兆瓦（35蒸吨/小时）及以上燃煤供热锅炉实施超低排放改造。按照最新的政策要求，逐步开展燃煤锅炉淘汰工作。</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新增源排放限制</w:t>
            </w:r>
          </w:p>
        </w:tc>
        <w:tc>
          <w:tcPr>
            <w:tcW w:w="1829"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1"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50"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用地环境风险防控要求</w:t>
            </w:r>
          </w:p>
        </w:tc>
        <w:tc>
          <w:tcPr>
            <w:tcW w:w="182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 开发区管委会协助落实土壤污染重点监管企业污染隐患排查、自行监测、拆除生产设备污染防治方案备案等制度；</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 土壤环境污染重点监管企业、危化品仓储企业落实《工矿用地土壤环境管理办法（试行）》要求，实施项目环评、设计建设、拆除设施、终止经营全生命周期土壤和地下水污染防治；</w:t>
            </w:r>
          </w:p>
          <w:p>
            <w:pPr>
              <w:widowControl/>
              <w:adjustRightInd w:val="0"/>
              <w:snapToGrid w:val="0"/>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 严格管理涉及易导致环境风险的有毒有害和易燃易爆物质的生产、使用、排放、贮运等新建、改扩建项目。</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1"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园区环境风险防控要求</w:t>
            </w:r>
          </w:p>
        </w:tc>
        <w:tc>
          <w:tcPr>
            <w:tcW w:w="1829"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1"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企业环境风险防控要求</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50"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水资源利用效率要求</w:t>
            </w:r>
          </w:p>
        </w:tc>
        <w:tc>
          <w:tcPr>
            <w:tcW w:w="182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widowControl/>
              <w:adjustRightInd w:val="0"/>
              <w:snapToGrid w:val="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29"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29"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433" w:type="pct"/>
            <w:vMerge w:val="continue"/>
            <w:shd w:val="clear" w:color="auto" w:fill="auto"/>
            <w:vAlign w:val="center"/>
          </w:tcPr>
          <w:p>
            <w:pPr>
              <w:rPr>
                <w:color w:val="auto"/>
                <w:highlight w:val="none"/>
                <w:u w:val="none"/>
              </w:rPr>
            </w:pPr>
          </w:p>
        </w:tc>
        <w:tc>
          <w:tcPr>
            <w:tcW w:w="501" w:type="pct"/>
            <w:vMerge w:val="continue"/>
            <w:shd w:val="clear" w:color="auto" w:fill="auto"/>
            <w:vAlign w:val="center"/>
          </w:tcPr>
          <w:p>
            <w:pPr>
              <w:rPr>
                <w:color w:val="auto"/>
                <w:highlight w:val="none"/>
                <w:u w:val="none"/>
              </w:rPr>
            </w:pPr>
          </w:p>
        </w:tc>
        <w:tc>
          <w:tcPr>
            <w:tcW w:w="408" w:type="pct"/>
            <w:vMerge w:val="continue"/>
            <w:tcBorders>
              <w:right w:val="single" w:color="auto" w:sz="4" w:space="0"/>
            </w:tcBorders>
            <w:shd w:val="clear" w:color="auto" w:fill="auto"/>
            <w:vAlign w:val="center"/>
          </w:tcPr>
          <w:p>
            <w:pPr>
              <w:rPr>
                <w:color w:val="auto"/>
                <w:highlight w:val="none"/>
                <w:u w:val="none"/>
              </w:rPr>
            </w:pPr>
          </w:p>
        </w:tc>
        <w:tc>
          <w:tcPr>
            <w:tcW w:w="4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50"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高污染燃料禁燃</w:t>
            </w:r>
          </w:p>
        </w:tc>
        <w:tc>
          <w:tcPr>
            <w:tcW w:w="182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widowControl/>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5"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ZH22010420003</w:t>
            </w:r>
          </w:p>
        </w:tc>
        <w:tc>
          <w:tcPr>
            <w:tcW w:w="501"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朝阳区城镇开发边界</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color w:val="auto"/>
                <w:sz w:val="20"/>
                <w:szCs w:val="20"/>
                <w:highlight w:val="none"/>
                <w:u w:val="none"/>
              </w:rPr>
              <w:t>大力发展第三产业，优化提升传统服务业质量，强化城区综合服务职能；加强历史文化保护力度；调整中心区职能，改善中心区交通状况；加强新立城水库汇水区自然生态环境的保护。</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9"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长春市人民政府关于划定高污染燃料禁燃区的通告》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ZH22010420004</w:t>
            </w:r>
          </w:p>
        </w:tc>
        <w:tc>
          <w:tcPr>
            <w:tcW w:w="50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朝阳区大气环境高排放重点管控区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9"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jc w:val="center"/>
        </w:trPr>
        <w:tc>
          <w:tcPr>
            <w:tcW w:w="43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1"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1完成吉林省下达的产能置换要求。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2禁燃区内禁止燃用的高污染燃料按照</w:t>
            </w:r>
            <w:r>
              <w:rPr>
                <w:rFonts w:hint="eastAsia" w:ascii="Times New Roman" w:hAnsi="Times New Roman" w:eastAsia="仿宋" w:cs="Times New Roman"/>
                <w:color w:val="auto"/>
                <w:sz w:val="20"/>
                <w:szCs w:val="20"/>
                <w:highlight w:val="none"/>
                <w:u w:val="none"/>
                <w:lang w:eastAsia="zh-CN"/>
              </w:rPr>
              <w:t>《长春市人民政府关于划定高污染燃料禁燃区的通告》</w:t>
            </w:r>
            <w:r>
              <w:rPr>
                <w:rFonts w:ascii="Times New Roman" w:hAnsi="Times New Roman" w:eastAsia="仿宋" w:cs="Times New Roman"/>
                <w:color w:val="auto"/>
                <w:sz w:val="20"/>
                <w:szCs w:val="20"/>
                <w:highlight w:val="none"/>
                <w:u w:val="none"/>
              </w:rPr>
              <w:t>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ZH22010420005</w:t>
            </w:r>
          </w:p>
        </w:tc>
        <w:tc>
          <w:tcPr>
            <w:tcW w:w="501"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朝阳区大气环境布局敏感重点管控区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kern w:val="0"/>
                <w:sz w:val="20"/>
                <w:szCs w:val="20"/>
                <w:highlight w:val="none"/>
                <w:u w:val="none"/>
              </w:rPr>
              <w:t>大气环境布局敏感重点管控区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基于“三线一单”研究成果提出，《吉林省生态环境保护“十四五”规划》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textAlignment w:val="center"/>
              <w:rPr>
                <w:rFonts w:ascii="Times New Roman" w:hAnsi="Times New Roman" w:eastAsia="仿宋" w:cs="Times New Roman"/>
                <w:color w:val="auto"/>
                <w:kern w:val="0"/>
                <w:sz w:val="24"/>
                <w:szCs w:val="24"/>
                <w:highlight w:val="none"/>
                <w:u w:val="none"/>
                <w:lang w:bidi="ar"/>
              </w:rPr>
            </w:pPr>
          </w:p>
        </w:tc>
        <w:tc>
          <w:tcPr>
            <w:tcW w:w="501" w:type="pct"/>
            <w:vMerge w:val="continue"/>
            <w:shd w:val="clear" w:color="auto" w:fill="auto"/>
            <w:vAlign w:val="center"/>
          </w:tcPr>
          <w:p>
            <w:pPr>
              <w:widowControl/>
              <w:jc w:val="left"/>
              <w:textAlignment w:val="center"/>
              <w:rPr>
                <w:rFonts w:ascii="Times New Roman" w:hAnsi="Times New Roman" w:eastAsia="仿宋" w:cs="Times New Roman"/>
                <w:color w:val="auto"/>
                <w:kern w:val="0"/>
                <w:sz w:val="24"/>
                <w:szCs w:val="24"/>
                <w:highlight w:val="none"/>
                <w:u w:val="none"/>
                <w:lang w:bidi="ar"/>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79"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3" w:type="pct"/>
            <w:vMerge w:val="continue"/>
            <w:shd w:val="clear" w:color="auto" w:fill="auto"/>
            <w:vAlign w:val="center"/>
          </w:tcPr>
          <w:p>
            <w:pPr>
              <w:widowControl/>
              <w:jc w:val="left"/>
              <w:textAlignment w:val="center"/>
              <w:rPr>
                <w:rFonts w:ascii="Times New Roman" w:hAnsi="Times New Roman" w:eastAsia="仿宋" w:cs="Times New Roman"/>
                <w:color w:val="auto"/>
                <w:kern w:val="0"/>
                <w:sz w:val="24"/>
                <w:szCs w:val="24"/>
                <w:highlight w:val="none"/>
                <w:u w:val="none"/>
                <w:lang w:bidi="ar"/>
              </w:rPr>
            </w:pPr>
          </w:p>
        </w:tc>
        <w:tc>
          <w:tcPr>
            <w:tcW w:w="501" w:type="pct"/>
            <w:vMerge w:val="continue"/>
            <w:shd w:val="clear" w:color="auto" w:fill="auto"/>
            <w:vAlign w:val="center"/>
          </w:tcPr>
          <w:p>
            <w:pPr>
              <w:widowControl/>
              <w:jc w:val="left"/>
              <w:textAlignment w:val="center"/>
              <w:rPr>
                <w:rFonts w:ascii="Times New Roman" w:hAnsi="Times New Roman" w:eastAsia="仿宋" w:cs="Times New Roman"/>
                <w:color w:val="auto"/>
                <w:kern w:val="0"/>
                <w:sz w:val="24"/>
                <w:szCs w:val="24"/>
                <w:highlight w:val="none"/>
                <w:u w:val="none"/>
                <w:lang w:bidi="ar"/>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9"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jc w:val="center"/>
        </w:trPr>
        <w:tc>
          <w:tcPr>
            <w:tcW w:w="433"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ZH22010430001</w:t>
            </w:r>
          </w:p>
        </w:tc>
        <w:tc>
          <w:tcPr>
            <w:tcW w:w="501"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朝阳区一般管控区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3-一般管控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注：吉林长春新立湖国家湿地公园面积为0.07平方千米，占比0.01%，吉林八大部－净月潭国家级风景名胜区面积为6.24平方千米，占比1.28%，各地区部门间联合管控。</w:t>
      </w:r>
    </w:p>
    <w:p>
      <w:pPr>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 w:linePitch="312" w:charSpace="0"/>
        </w:sectPr>
      </w:pPr>
    </w:p>
    <w:p>
      <w:pPr>
        <w:keepNext/>
        <w:keepLines/>
        <w:outlineLvl w:val="1"/>
        <w:rPr>
          <w:rFonts w:ascii="Times New Roman" w:hAnsi="Times New Roman" w:eastAsia="仿宋" w:cs="Times New Roman"/>
          <w:b/>
          <w:bCs/>
          <w:color w:val="auto"/>
          <w:sz w:val="32"/>
          <w:szCs w:val="32"/>
          <w:highlight w:val="none"/>
          <w:u w:val="none"/>
        </w:rPr>
      </w:pPr>
      <w:bookmarkStart w:id="24" w:name="_Toc27572325"/>
      <w:bookmarkStart w:id="25" w:name="_Toc7183"/>
      <w:bookmarkStart w:id="26" w:name="_Toc8628"/>
      <w:bookmarkStart w:id="27" w:name="_Toc27572322"/>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四</w:t>
      </w:r>
      <w:r>
        <w:rPr>
          <w:rFonts w:ascii="Times New Roman" w:hAnsi="Times New Roman" w:eastAsia="仿宋" w:cs="Times New Roman"/>
          <w:b/>
          <w:bCs/>
          <w:color w:val="auto"/>
          <w:sz w:val="32"/>
          <w:szCs w:val="32"/>
          <w:highlight w:val="none"/>
          <w:u w:val="none"/>
        </w:rPr>
        <w:t>）长春市二道区</w:t>
      </w:r>
      <w:bookmarkEnd w:id="24"/>
      <w:r>
        <w:rPr>
          <w:rFonts w:ascii="Times New Roman" w:hAnsi="Times New Roman" w:eastAsia="仿宋" w:cs="Times New Roman"/>
          <w:b/>
          <w:bCs/>
          <w:color w:val="auto"/>
          <w:sz w:val="32"/>
          <w:szCs w:val="32"/>
          <w:highlight w:val="none"/>
          <w:u w:val="none"/>
        </w:rPr>
        <w:t>生态环境准入清单</w:t>
      </w:r>
      <w:bookmarkEnd w:id="25"/>
      <w:bookmarkEnd w:id="26"/>
    </w:p>
    <w:p>
      <w:pPr>
        <w:jc w:val="center"/>
        <w:rPr>
          <w:rFonts w:ascii="Times New Roman" w:hAnsi="Times New Roman" w:eastAsia="仿宋" w:cs="Times New Roman"/>
          <w:b/>
          <w:color w:val="auto"/>
          <w:highlight w:val="none"/>
          <w:u w:val="none"/>
        </w:rPr>
      </w:pPr>
      <w:bookmarkStart w:id="28" w:name="_Toc27572326"/>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3-4</w:t>
      </w:r>
      <w:r>
        <w:rPr>
          <w:rFonts w:ascii="Times New Roman" w:hAnsi="Times New Roman" w:eastAsia="仿宋" w:cs="Times New Roman"/>
          <w:b/>
          <w:color w:val="auto"/>
          <w:highlight w:val="none"/>
          <w:u w:val="none"/>
        </w:rPr>
        <w:t>-1长春市二道区区域特征研判</w:t>
      </w:r>
      <w:bookmarkEnd w:id="28"/>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1.《吉林省主体功能区规划》中的国家级重点开发区域——长吉图经济区。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2.位于长春市东部，面积102平方公里，辖1个省级开发区--长春国际物流经济开发区，7街、1镇，41个社区、8个建制村，总人口40万。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现代服务业重点发展现代物流业、商务商贸业、文化创意产业、新金融与科技服务业、电子商务产业、房地产与社区服务业；新型工业坚持把节能环保、新能源、新材料等作为主攻方向，着力集聚一批前景好、潜力足的高新技术企业，建好“英俊工业走廊”。</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努力把长春东部中央商务区打造成吉林省中部创新转型示范区的先导区；把现代物流中心区打造成全省消费品物流中心；把休闲商务发展区打造成长春东部特色商务集聚区。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吉林九台湿地省级自然保护区、长春市石头口门水库生活饮用水水源地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（1）确保人类开发活动不挤占耕地。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（2）控制工业污染排放。</w:t>
            </w:r>
          </w:p>
        </w:tc>
      </w:tr>
    </w:tbl>
    <w:p>
      <w:pPr>
        <w:pStyle w:val="19"/>
        <w:ind w:left="0" w:leftChars="0" w:firstLine="0"/>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29" w:name="_Toc27572327"/>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3-4</w:t>
      </w:r>
      <w:r>
        <w:rPr>
          <w:rFonts w:ascii="Times New Roman" w:hAnsi="Times New Roman" w:eastAsia="仿宋" w:cs="Times New Roman"/>
          <w:b/>
          <w:color w:val="auto"/>
          <w:highlight w:val="none"/>
          <w:u w:val="none"/>
        </w:rPr>
        <w:t>-2长春市二道区生态环境准入清单</w:t>
      </w:r>
      <w:bookmarkEnd w:id="29"/>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42"/>
        <w:gridCol w:w="2081"/>
        <w:gridCol w:w="1692"/>
        <w:gridCol w:w="1772"/>
        <w:gridCol w:w="2352"/>
        <w:gridCol w:w="7267"/>
        <w:gridCol w:w="40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492"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00"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19"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74"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54"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ZH22010510001</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吉林九台湿地省级自然保护区（莲花山区）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ZH22010510002</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长春市石头口门水库饮用水水源保护区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ZH22010510003</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长春市石头口门水库饮用水水源保护区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ZH22010510004</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二道区莲花山区水源涵养功能生态保护红线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水源涵养、饮用水水源保护区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ZH22010510005</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二道区莲花山区水土流失功能生态保护红线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水土流失、饮用水水源保护区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ZH22010510006</w:t>
            </w:r>
          </w:p>
        </w:tc>
        <w:tc>
          <w:tcPr>
            <w:tcW w:w="492"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二道区莲花山区其他生态功能生态保护红线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其他生态功能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7"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ZH22010520001</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长春净月高新技术产业开发区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color w:val="auto"/>
                <w:kern w:val="0"/>
                <w:szCs w:val="21"/>
                <w:highlight w:val="none"/>
                <w:u w:val="none"/>
              </w:rPr>
              <w:t>4开发区</w:t>
            </w:r>
            <w:r>
              <w:rPr>
                <w:rFonts w:hint="eastAsia" w:ascii="Times New Roman" w:hAnsi="Times New Roman" w:eastAsia="仿宋" w:cs="Times New Roman"/>
                <w:color w:val="auto"/>
                <w:kern w:val="0"/>
                <w:szCs w:val="21"/>
                <w:highlight w:val="none"/>
                <w:u w:val="none"/>
              </w:rPr>
              <w:t>做大做强数字经济</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智能感知领域、数字产业化领域、数字融合应用领域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、先进制造</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光电信息领域、汽车电子领域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、影视文旅</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影视制播领域、文化创意领域、文化旅游领域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三个主导产业，做优做精生命健康</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医养康养服务领域、未来医学领域、新型医药器械领域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、现代农业产业</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现代种业领域、精优食品领域</w:t>
            </w:r>
            <w:r>
              <w:rPr>
                <w:rFonts w:hint="eastAsia" w:ascii="Times New Roman" w:hAnsi="Times New Roman" w:eastAsia="仿宋" w:cs="Times New Roman"/>
                <w:color w:val="auto"/>
                <w:kern w:val="0"/>
                <w:szCs w:val="21"/>
                <w:highlight w:val="none"/>
                <w:u w:val="none"/>
                <w:lang w:eastAsia="zh-CN"/>
              </w:rPr>
              <w:t>）</w:t>
            </w:r>
            <w:r>
              <w:rPr>
                <w:rFonts w:hint="eastAsia" w:ascii="Times New Roman" w:hAnsi="Times New Roman" w:eastAsia="仿宋" w:cs="Times New Roman"/>
                <w:color w:val="auto"/>
                <w:kern w:val="0"/>
                <w:szCs w:val="21"/>
                <w:highlight w:val="none"/>
                <w:u w:val="none"/>
              </w:rPr>
              <w:t>,前瞻布局低空经济产业,加快构建具有净月特色的“3强2优1特色”的现代化产业体系</w:t>
            </w:r>
            <w:r>
              <w:rPr>
                <w:rFonts w:ascii="Times New Roman" w:hAnsi="Times New Roman" w:eastAsia="仿宋" w:cs="Times New Roman"/>
                <w:color w:val="auto"/>
                <w:kern w:val="0"/>
                <w:szCs w:val="21"/>
                <w:highlight w:val="none"/>
                <w:u w:val="none"/>
              </w:rPr>
              <w:t>。</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创新经济发展示范区、新一轮东北振兴重要引擎、体制机制改革先行区</w:t>
            </w:r>
          </w:p>
          <w:p>
            <w:pPr>
              <w:jc w:val="left"/>
              <w:rPr>
                <w:rFonts w:ascii="Times New Roman" w:hAnsi="Times New Roman" w:eastAsia="仿宋" w:cs="Times New Roman"/>
                <w:b/>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hint="eastAsia" w:ascii="Times New Roman" w:hAnsi="Times New Roman" w:eastAsia="仿宋" w:cs="Times New Roman"/>
                <w:b w:val="0"/>
                <w:bCs w:val="0"/>
                <w:color w:val="auto"/>
                <w:sz w:val="20"/>
                <w:szCs w:val="20"/>
                <w:highlight w:val="none"/>
                <w:u w:val="none"/>
              </w:rPr>
              <w:t>数字经济（智能感知领域数字产业化领域、数字融合应用领域）、先进制造（光电信息领域、汽车电子领域）、影视文旅（影视制播领域、文化创意领域、文化旅游领域）。</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禁养区内禁止建设养殖场；</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rPr>
                <w:rFonts w:hint="eastAsia" w:eastAsia="仿宋"/>
                <w:color w:val="auto"/>
                <w:highlight w:val="none"/>
                <w:u w:val="none"/>
                <w:lang w:eastAsia="zh-CN"/>
              </w:rPr>
            </w:pPr>
            <w:r>
              <w:rPr>
                <w:rFonts w:ascii="Times New Roman" w:hAnsi="Times New Roman" w:eastAsia="仿宋" w:cs="Times New Roman"/>
                <w:color w:val="auto"/>
                <w:kern w:val="0"/>
                <w:szCs w:val="21"/>
                <w:highlight w:val="none"/>
                <w:u w:val="none"/>
              </w:rPr>
              <w:t>1严格限制《产业结构调整指导目录》中的“限制类”项目入区</w:t>
            </w:r>
            <w:r>
              <w:rPr>
                <w:rFonts w:hint="eastAsia" w:ascii="Times New Roman" w:hAnsi="Times New Roman" w:eastAsia="仿宋" w:cs="Times New Roman"/>
                <w:color w:val="auto"/>
                <w:kern w:val="0"/>
                <w:szCs w:val="21"/>
                <w:highlight w:val="none"/>
                <w:u w:val="none"/>
                <w:lang w:eastAsia="zh-CN"/>
              </w:rPr>
              <w:t>。</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1在充分落实环保措施、对周围环境影响可接受的前提下，允许不符合空间布局的现有项目维持现状，除上述现有项目外，对于其他与产业布局不符的项目，建议实施搬迁改造；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6全面推进挥发性有机物总量减排，加强高效收集治理设施建设，实现排气筒与厂界双达标。</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推动单台容量25兆瓦（35蒸吨/小时）及以上燃煤供热锅炉实施超低排放改造。按照国家、省政策的调整和要求，逐步开展燃煤锅炉淘汰工作。</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1区内企业应建立完善风险防范体系及风险防范措施，做好与开发区的联动；制定应急预案并及时修编，定期演练，加强对于风险防范措施的维护，保证措施有效、应急物资充足；</w:t>
            </w:r>
          </w:p>
          <w:p>
            <w:pPr>
              <w:widowControl/>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2积极采取有效的节水措施，严格限制不符合高新区产业规划、高水耗高能耗的企业入驻，减少水资源的消耗，同时入区企业应采用先进的工艺和管理手段减少水耗，节约用水；</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3单位工业增加值新鲜水耗≤10m</w:t>
            </w:r>
            <w:r>
              <w:rPr>
                <w:rFonts w:ascii="Times New Roman" w:hAnsi="Times New Roman" w:eastAsia="仿宋" w:cs="Times New Roman"/>
                <w:color w:val="auto"/>
                <w:kern w:val="0"/>
                <w:szCs w:val="21"/>
                <w:highlight w:val="none"/>
                <w:u w:val="none"/>
                <w:vertAlign w:val="superscript"/>
              </w:rPr>
              <w:t>3</w:t>
            </w:r>
            <w:r>
              <w:rPr>
                <w:rFonts w:ascii="Times New Roman" w:hAnsi="Times New Roman" w:eastAsia="仿宋" w:cs="Times New Roman"/>
                <w:color w:val="auto"/>
                <w:kern w:val="0"/>
                <w:szCs w:val="21"/>
                <w:highlight w:val="none"/>
                <w:u w:val="none"/>
              </w:rPr>
              <w:t>/万元；</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4规划再生水回用率：不低于10%。</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ZH22010520002</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长春兴隆综合保税区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空间布局约束</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1严格按照区域国土空间规划合理选择项目用地；</w:t>
            </w:r>
          </w:p>
          <w:p>
            <w:pPr>
              <w:jc w:val="left"/>
              <w:rPr>
                <w:rFonts w:hint="eastAsia" w:ascii="Times New Roman" w:hAnsi="Times New Roman" w:eastAsia="仿宋" w:cs="Times New Roman"/>
                <w:color w:val="auto"/>
                <w:kern w:val="0"/>
                <w:sz w:val="20"/>
                <w:szCs w:val="20"/>
                <w:highlight w:val="none"/>
                <w:u w:val="none"/>
                <w:lang w:eastAsia="zh-CN"/>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严格按照产业政策要求选择落区项目</w:t>
            </w:r>
            <w:r>
              <w:rPr>
                <w:rFonts w:hint="eastAsia" w:ascii="Times New Roman" w:hAnsi="Times New Roman" w:eastAsia="仿宋" w:cs="Times New Roman"/>
                <w:color w:val="auto"/>
                <w:kern w:val="0"/>
                <w:szCs w:val="21"/>
                <w:highlight w:val="none"/>
                <w:u w:val="none"/>
                <w:lang w:eastAsia="zh-CN"/>
              </w:rPr>
              <w:t>。</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禁止建设新增铅、汞、铬、砷、镉、镍、铜重金属污染排放总量的项目；</w:t>
            </w:r>
          </w:p>
          <w:p>
            <w:pPr>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城镇人口密集区禁止新增危险化学品生产企业。</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2限制与开发区主导产业不相关、污染物排放量大的项目入区；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3从严控制新建、改建、扩建涉磷行业的项目建设，区内引入涉磷企业总磷总量需要倍量替代；</w:t>
            </w:r>
          </w:p>
          <w:p>
            <w:pPr>
              <w:jc w:val="left"/>
              <w:rPr>
                <w:rFonts w:hint="eastAsia" w:eastAsia="仿宋"/>
                <w:color w:val="auto"/>
                <w:highlight w:val="none"/>
                <w:u w:val="none"/>
                <w:lang w:eastAsia="zh-CN"/>
              </w:rPr>
            </w:pPr>
            <w:r>
              <w:rPr>
                <w:rFonts w:ascii="Times New Roman" w:hAnsi="Times New Roman" w:eastAsia="仿宋" w:cs="Times New Roman"/>
                <w:color w:val="auto"/>
                <w:kern w:val="0"/>
                <w:szCs w:val="21"/>
                <w:highlight w:val="none"/>
                <w:u w:val="none"/>
              </w:rPr>
              <w:t>4从严控制新建、改建、扩建涉重行业的项目建设</w:t>
            </w:r>
            <w:r>
              <w:rPr>
                <w:rFonts w:hint="eastAsia" w:ascii="Times New Roman" w:hAnsi="Times New Roman" w:eastAsia="仿宋" w:cs="Times New Roman"/>
                <w:color w:val="auto"/>
                <w:kern w:val="0"/>
                <w:szCs w:val="21"/>
                <w:highlight w:val="none"/>
                <w:u w:val="none"/>
                <w:lang w:eastAsia="zh-CN"/>
              </w:rPr>
              <w:t>。</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1用地冲突企业，在取得合法土地使用证前，禁止扩建和扩大厂区；</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《产业结构调整指导目录》中的淘汰类，全部列入本类，涉及的产业项目禁止新建和投资，现有此类企业3-5年内关闭退出；</w:t>
            </w:r>
          </w:p>
          <w:p>
            <w:pPr>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现有不符合开发区产业发展方向和环境保护要求的企业应逐步升级改造或搬迁、淘汰。</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重点耗能行业能源利用效率达到国内先进水平。单位地区生产总值能耗大幅下降；单位地区生产总值二氧化碳排放比2005年下降65%以上。</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减排措施：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2开发区按照串联用水，分质用水、一水多用和循环利用的原则，提高水资源利用率，建设节水型园区；加快污水收集管网建设，开发区污废水基本实现全收集、全处理；</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jc w:val="left"/>
              <w:rPr>
                <w:rFonts w:hint="eastAsia" w:ascii="Times New Roman" w:hAnsi="Times New Roman" w:eastAsia="仿宋" w:cs="Times New Roman"/>
                <w:color w:val="auto"/>
                <w:kern w:val="0"/>
                <w:szCs w:val="21"/>
                <w:highlight w:val="none"/>
                <w:u w:val="none"/>
                <w:lang w:eastAsia="zh-CN"/>
              </w:rPr>
            </w:pPr>
            <w:r>
              <w:rPr>
                <w:rFonts w:hint="eastAsia" w:ascii="Times New Roman" w:hAnsi="Times New Roman" w:eastAsia="仿宋" w:cs="Times New Roman"/>
                <w:color w:val="auto"/>
                <w:kern w:val="0"/>
                <w:sz w:val="20"/>
                <w:szCs w:val="20"/>
                <w:highlight w:val="none"/>
                <w:u w:val="none"/>
                <w:lang w:val="en-US" w:eastAsia="zh-CN"/>
              </w:rPr>
              <w:t>6</w:t>
            </w:r>
            <w:r>
              <w:rPr>
                <w:rFonts w:ascii="Times New Roman" w:hAnsi="Times New Roman" w:eastAsia="仿宋" w:cs="Times New Roman"/>
                <w:color w:val="auto"/>
                <w:kern w:val="0"/>
                <w:sz w:val="20"/>
                <w:szCs w:val="20"/>
                <w:highlight w:val="none"/>
                <w:u w:val="none"/>
              </w:rPr>
              <w:t>工业涂装等涉及挥发性有机物排放的行业企业属于控制重点，应推广使用低（无）挥发性有机物含量的原辅材料，安装高效集气装置等措施，提升工艺废气、尾气收集处置率</w:t>
            </w:r>
            <w:r>
              <w:rPr>
                <w:rFonts w:hint="eastAsia" w:ascii="Times New Roman" w:hAnsi="Times New Roman" w:eastAsia="仿宋" w:cs="Times New Roman"/>
                <w:color w:val="auto"/>
                <w:kern w:val="0"/>
                <w:sz w:val="20"/>
                <w:szCs w:val="20"/>
                <w:highlight w:val="none"/>
                <w:u w:val="none"/>
                <w:lang w:eastAsia="zh-CN"/>
              </w:rPr>
              <w:t>；</w:t>
            </w:r>
          </w:p>
          <w:p>
            <w:pPr>
              <w:jc w:val="left"/>
              <w:rPr>
                <w:rFonts w:ascii="Times New Roman" w:hAnsi="Times New Roman" w:eastAsia="仿宋" w:cs="Times New Roman"/>
                <w:color w:val="auto"/>
                <w:kern w:val="0"/>
                <w:sz w:val="20"/>
                <w:szCs w:val="20"/>
                <w:highlight w:val="none"/>
                <w:u w:val="none"/>
              </w:rPr>
            </w:pPr>
            <w:r>
              <w:rPr>
                <w:rFonts w:hint="eastAsia" w:ascii="Times New Roman" w:hAnsi="Times New Roman" w:eastAsia="仿宋" w:cs="Times New Roman"/>
                <w:color w:val="auto"/>
                <w:kern w:val="0"/>
                <w:szCs w:val="21"/>
                <w:highlight w:val="none"/>
                <w:u w:val="none"/>
                <w:lang w:val="en-US" w:eastAsia="zh-CN"/>
              </w:rPr>
              <w:t>7</w:t>
            </w:r>
            <w:r>
              <w:rPr>
                <w:rFonts w:ascii="Times New Roman" w:hAnsi="Times New Roman" w:eastAsia="仿宋" w:cs="Times New Roman"/>
                <w:color w:val="auto"/>
                <w:kern w:val="0"/>
                <w:szCs w:val="21"/>
                <w:highlight w:val="none"/>
                <w:u w:val="none"/>
              </w:rPr>
              <w:t>全面推进挥发性有机物总量减排，深入推进工业重点行业挥发性有机物深度治理，加强高效收集治理设施建设，实现排气筒与厂界双达标；逐步推进挥发性有机物排放重点企业、产业集中园区治理和在线监控设施建设，推动挥发性有机物产品源头替代。</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hint="eastAsia" w:ascii="Times New Roman" w:hAnsi="Times New Roman" w:eastAsia="仿宋" w:cs="Times New Roman"/>
                <w:color w:val="auto"/>
                <w:kern w:val="0"/>
                <w:sz w:val="20"/>
                <w:szCs w:val="20"/>
                <w:highlight w:val="none"/>
                <w:u w:val="none"/>
                <w:lang w:val="en-US" w:eastAsia="zh-CN"/>
              </w:rPr>
              <w:t>1</w:t>
            </w:r>
            <w:r>
              <w:rPr>
                <w:rFonts w:ascii="Times New Roman" w:hAnsi="Times New Roman" w:eastAsia="仿宋" w:cs="Times New Roman"/>
                <w:color w:val="auto"/>
                <w:kern w:val="0"/>
                <w:sz w:val="20"/>
                <w:szCs w:val="20"/>
                <w:highlight w:val="none"/>
                <w:u w:val="none"/>
              </w:rPr>
              <w:t>重点行业污染治理升级改造，推进各类园区循环化改造</w:t>
            </w:r>
          </w:p>
          <w:p>
            <w:pPr>
              <w:jc w:val="left"/>
              <w:rPr>
                <w:rFonts w:ascii="Times New Roman" w:hAnsi="Times New Roman" w:eastAsia="仿宋" w:cs="Times New Roman"/>
                <w:color w:val="auto"/>
                <w:kern w:val="0"/>
                <w:sz w:val="20"/>
                <w:szCs w:val="20"/>
                <w:highlight w:val="none"/>
                <w:u w:val="none"/>
              </w:rPr>
            </w:pPr>
            <w:r>
              <w:rPr>
                <w:rFonts w:hint="eastAsia" w:ascii="Times New Roman" w:hAnsi="Times New Roman" w:eastAsia="仿宋" w:cs="Times New Roman"/>
                <w:color w:val="auto"/>
                <w:kern w:val="0"/>
                <w:sz w:val="20"/>
                <w:szCs w:val="20"/>
                <w:highlight w:val="none"/>
                <w:u w:val="none"/>
                <w:lang w:val="en-US" w:eastAsia="zh-CN"/>
              </w:rPr>
              <w:t>2</w:t>
            </w:r>
            <w:r>
              <w:rPr>
                <w:rFonts w:ascii="Times New Roman" w:hAnsi="Times New Roman" w:eastAsia="仿宋" w:cs="Times New Roman"/>
                <w:color w:val="auto"/>
                <w:kern w:val="0"/>
                <w:sz w:val="20"/>
                <w:szCs w:val="20"/>
                <w:highlight w:val="none"/>
                <w:u w:val="none"/>
              </w:rPr>
              <w:t>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9"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jc w:val="left"/>
              <w:rPr>
                <w:rFonts w:hint="eastAsia" w:ascii="Times New Roman" w:hAnsi="Times New Roman" w:eastAsia="仿宋" w:cs="Times New Roman"/>
                <w:color w:val="auto"/>
                <w:szCs w:val="21"/>
                <w:highlight w:val="none"/>
                <w:u w:val="none"/>
                <w:lang w:eastAsia="zh-CN"/>
              </w:rPr>
            </w:pPr>
            <w:r>
              <w:rPr>
                <w:rFonts w:hint="eastAsia" w:ascii="Times New Roman" w:hAnsi="Times New Roman" w:eastAsia="仿宋" w:cs="Times New Roman"/>
                <w:color w:val="auto"/>
                <w:szCs w:val="21"/>
                <w:highlight w:val="none"/>
                <w:u w:val="none"/>
                <w:lang w:val="en-US" w:eastAsia="zh-CN"/>
              </w:rPr>
              <w:t>1</w:t>
            </w: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r>
              <w:rPr>
                <w:rFonts w:hint="eastAsia" w:ascii="Times New Roman" w:hAnsi="Times New Roman" w:eastAsia="仿宋" w:cs="Times New Roman"/>
                <w:color w:val="auto"/>
                <w:szCs w:val="21"/>
                <w:highlight w:val="none"/>
                <w:u w:val="none"/>
                <w:lang w:eastAsia="zh-CN"/>
              </w:rPr>
              <w:t>；</w:t>
            </w:r>
          </w:p>
          <w:p>
            <w:pPr>
              <w:jc w:val="left"/>
              <w:rPr>
                <w:color w:val="auto"/>
                <w:highlight w:val="none"/>
                <w:u w:val="none"/>
              </w:rPr>
            </w:pPr>
            <w:r>
              <w:rPr>
                <w:rFonts w:hint="eastAsia" w:ascii="Times New Roman" w:hAnsi="Times New Roman" w:eastAsia="仿宋" w:cs="Times New Roman"/>
                <w:color w:val="auto"/>
                <w:szCs w:val="21"/>
                <w:highlight w:val="none"/>
                <w:u w:val="none"/>
                <w:lang w:val="en-US" w:eastAsia="zh-CN"/>
              </w:rPr>
              <w:t>2</w:t>
            </w:r>
            <w:r>
              <w:rPr>
                <w:rFonts w:ascii="Times New Roman" w:hAnsi="Times New Roman" w:eastAsia="仿宋" w:cs="Times New Roman"/>
                <w:color w:val="auto"/>
                <w:kern w:val="0"/>
                <w:sz w:val="20"/>
                <w:szCs w:val="20"/>
                <w:highlight w:val="none"/>
                <w:u w:val="none"/>
              </w:rPr>
              <w:t>执行《吉林省新污染物治理实施方案》相关要求，加强新污染物多环境介质协同治理，全面强化清洁生产和绿色制造。</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50"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jc w:val="left"/>
              <w:rPr>
                <w:rFonts w:hint="eastAsia" w:ascii="Times New Roman" w:hAnsi="Times New Roman" w:eastAsia="仿宋" w:cs="Times New Roman"/>
                <w:color w:val="auto"/>
                <w:kern w:val="0"/>
                <w:szCs w:val="21"/>
                <w:highlight w:val="none"/>
                <w:u w:val="none"/>
                <w:lang w:eastAsia="zh-CN"/>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 w:val="20"/>
                <w:szCs w:val="20"/>
                <w:highlight w:val="none"/>
                <w:u w:val="none"/>
              </w:rPr>
              <w:t>严格落实规划环评及其批复文件制定的环境风险防范措施</w:t>
            </w:r>
            <w:r>
              <w:rPr>
                <w:rFonts w:hint="eastAsia" w:ascii="Times New Roman" w:hAnsi="Times New Roman" w:eastAsia="仿宋" w:cs="Times New Roman"/>
                <w:color w:val="auto"/>
                <w:kern w:val="0"/>
                <w:sz w:val="20"/>
                <w:szCs w:val="20"/>
                <w:highlight w:val="none"/>
                <w:u w:val="none"/>
                <w:lang w:eastAsia="zh-CN"/>
              </w:rPr>
              <w:t>；</w:t>
            </w:r>
          </w:p>
          <w:p>
            <w:pPr>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涉有毒有害大气污染物名录的企业应在厂界建设针对有毒有害特征污染物的环境风险预警体系，确保发生事故能够及时响应。</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82"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color w:val="auto"/>
                <w:sz w:val="20"/>
                <w:szCs w:val="20"/>
                <w:highlight w:val="none"/>
                <w:u w:val="none"/>
                <w:lang w:eastAsia="zh-CN"/>
              </w:rPr>
              <w:t>《长春市人民政府关于划定高污染燃料禁燃区的通告》</w:t>
            </w:r>
            <w:r>
              <w:rPr>
                <w:rFonts w:ascii="Times New Roman" w:hAnsi="Times New Roman" w:eastAsia="仿宋" w:cs="Times New Roman"/>
                <w:color w:val="auto"/>
                <w:sz w:val="20"/>
                <w:szCs w:val="20"/>
                <w:highlight w:val="none"/>
                <w:u w:val="none"/>
              </w:rPr>
              <w:t>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r>
              <w:rPr>
                <w:rFonts w:ascii="Times New Roman" w:hAnsi="Times New Roman" w:eastAsia="仿宋" w:cs="Times New Roman"/>
                <w:color w:val="auto"/>
                <w:kern w:val="0"/>
                <w:szCs w:val="21"/>
                <w:highlight w:val="none"/>
                <w:u w:val="none"/>
              </w:rPr>
              <w:t>。</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ZH22010520003</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长春二道经济开发区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55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发展区发展定位：</w:t>
            </w:r>
            <w:r>
              <w:rPr>
                <w:rFonts w:hint="eastAsia" w:ascii="Times New Roman" w:hAnsi="Times New Roman" w:eastAsia="仿宋" w:cs="Times New Roman"/>
                <w:bCs/>
                <w:color w:val="auto"/>
                <w:kern w:val="0"/>
                <w:szCs w:val="21"/>
                <w:highlight w:val="none"/>
                <w:u w:val="none"/>
              </w:rPr>
              <w:t>长春二道经济开发区</w:t>
            </w:r>
            <w:r>
              <w:rPr>
                <w:rFonts w:ascii="Times New Roman" w:hAnsi="Times New Roman" w:eastAsia="仿宋" w:cs="Times New Roman"/>
                <w:bCs/>
                <w:color w:val="auto"/>
                <w:kern w:val="0"/>
                <w:szCs w:val="21"/>
                <w:highlight w:val="none"/>
                <w:u w:val="none"/>
              </w:rPr>
              <w:t>发展区以物流业和特色工业为主要发展方向。</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 xml:space="preserve">1创新制造板块重点发展先进制造、新型建材、新材料等相关产业，创新服务板块重点发展现代服务和高质量居住等相关产业，生态农业板块重点发展生态涵养和休闲农业等相关产业。长青单元和长江单元主要以商贸、居住，物流和少量工业为主； </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 xml:space="preserve">2入区企业必须是符合国家产业政策和清洁生产原则，从源头削减污染，提高资源利用效率，减少或者避免生产、服务和产品使用过程中污染物的产生和排放，减轻或者消除对人类健康和环境的危害； </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 xml:space="preserve">3区内优先安排投资规模较大，外向度较强，科技含量较高，经济和社会效益较好的企业，并在规定期限内建成投产； </w:t>
            </w:r>
          </w:p>
          <w:p>
            <w:pPr>
              <w:adjustRightInd w:val="0"/>
              <w:snapToGrid w:val="0"/>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4开发区应鼓励发展的项目类别应优先发展耗水量小、水污染较轻、能耗低项目及《产业结构调整指导目录》所规定的相关鼓励类企业。</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建成产业高度集聚、空间布局合理、分工体系完善、资源配置优化的新型开发区；交通便捷、设施完善、商业发达、生活便利、适宜居住的繁荣市区；生态环境良好、经济繁荣发达、区域功能完备、社会和谐文明的现代化新城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创新制造板块重点发展先进制造、新型建材、新材料等相关产业，创新服务板块重点发展现代服务和高质量居住等相关产业，生态农业板块重点发展生态涵养和休闲农业等相关产业。长青单元和长江单元主要以商贸、居住，物流和少量工业为主。</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土壤污染防治行动计划》《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1严格禁止造纸、制革、印染、电镀、水泥、钢铁等行业以及不符合园区产业发展方向，能耗、物耗较大，污染严重的项目入区；</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2禁止《产业结构调整指导目录》中的“淘汰类”项目</w:t>
            </w:r>
          </w:p>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3原则上不再新建单台容量29兆瓦(40蒸吨/小时)以下燃煤锅炉。</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限制建设的项目主要是在当地已经建成投产并形成一定规模，或是历史遗留项目，它们能为当地创造可观的经济效益、带动其它产业迅速发展，但能耗、物耗相对较大，或对环境有一定的污染，或选址不合理，开发区应限制这类项目发展，督促其进行清洁生产，严格控制其污染物排放量，适当时候可将其替代、搬迁或停产。</w:t>
            </w:r>
          </w:p>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2限制入区项目；国家产业政策限制发展的项目含《产业结构调整指导目录》所列入的限制类生产工艺及设备名录的企业。</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不符合空间布局活动的退出要求</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1在充分落实环保措施、对周围环境影响可接受的前提下，推动不符合空间布局的现状企业逐步更址或退出，对停产且不符合空间布局的企业建议退出代换；</w:t>
            </w:r>
          </w:p>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2用地冲突企业，在取得合法土地使用证前，禁止扩建和扩大厂区。</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开发区多引进污染少、能耗低、效益高的产业项目，禁止引入大气污染严重的项目；</w:t>
            </w:r>
          </w:p>
          <w:p>
            <w:pPr>
              <w:adjustRightInd w:val="0"/>
              <w:snapToGrid w:val="0"/>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开发区管委会加强对区内VOCs重点管控，提高涉及VOCs主要排放工序密闭化水平，加强无组织排放其他收集效率，加大含VOCs物料储存和装卸治理力度，推广使用低VOCs含量或低反应活性的原辅材料，加快工艺改进和产品升级。</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重点行业污染治理升级改造，推进各类园区循环化改造；强化堆场扬尘控制。</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hint="eastAsia" w:ascii="Times New Roman" w:hAnsi="Times New Roman" w:eastAsia="仿宋" w:cs="Times New Roman"/>
                <w:bCs/>
                <w:color w:val="auto"/>
                <w:kern w:val="0"/>
                <w:szCs w:val="21"/>
                <w:highlight w:val="none"/>
                <w:u w:val="none"/>
              </w:rPr>
              <w:t>重点行业建设</w:t>
            </w:r>
            <w:r>
              <w:rPr>
                <w:rFonts w:ascii="Times New Roman" w:hAnsi="Times New Roman" w:eastAsia="仿宋" w:cs="Times New Roman"/>
                <w:bCs/>
                <w:color w:val="auto"/>
                <w:kern w:val="0"/>
                <w:szCs w:val="21"/>
                <w:highlight w:val="none"/>
                <w:u w:val="none"/>
              </w:rPr>
              <w:t>项目</w:t>
            </w:r>
            <w:r>
              <w:rPr>
                <w:rFonts w:hint="eastAsia" w:ascii="Times New Roman" w:hAnsi="Times New Roman" w:eastAsia="仿宋" w:cs="Times New Roman"/>
                <w:bCs/>
                <w:color w:val="auto"/>
                <w:kern w:val="0"/>
                <w:szCs w:val="21"/>
                <w:highlight w:val="none"/>
                <w:u w:val="none"/>
              </w:rPr>
              <w:t>执行</w:t>
            </w:r>
            <w:r>
              <w:rPr>
                <w:rFonts w:ascii="Times New Roman" w:hAnsi="Times New Roman" w:eastAsia="仿宋" w:cs="Times New Roman"/>
                <w:bCs/>
                <w:color w:val="auto"/>
                <w:kern w:val="0"/>
                <w:szCs w:val="21"/>
                <w:highlight w:val="none"/>
                <w:u w:val="none"/>
              </w:rPr>
              <w:t>《</w:t>
            </w:r>
            <w:r>
              <w:rPr>
                <w:rFonts w:hint="eastAsia" w:ascii="Times New Roman" w:hAnsi="Times New Roman" w:eastAsia="仿宋" w:cs="Times New Roman"/>
                <w:bCs/>
                <w:color w:val="auto"/>
                <w:kern w:val="0"/>
                <w:szCs w:val="21"/>
                <w:highlight w:val="none"/>
                <w:u w:val="none"/>
              </w:rPr>
              <w:t>关于加强重点行业建设项目区域削减措施监督管理的通知</w:t>
            </w:r>
            <w:r>
              <w:rPr>
                <w:rFonts w:ascii="Times New Roman" w:hAnsi="Times New Roman" w:eastAsia="仿宋" w:cs="Times New Roman"/>
                <w:bCs/>
                <w:color w:val="auto"/>
                <w:kern w:val="0"/>
                <w:szCs w:val="21"/>
                <w:highlight w:val="none"/>
                <w:u w:val="none"/>
              </w:rPr>
              <w:t>》</w:t>
            </w:r>
            <w:r>
              <w:rPr>
                <w:rFonts w:hint="eastAsia" w:ascii="Times New Roman" w:hAnsi="Times New Roman" w:eastAsia="仿宋" w:cs="Times New Roman"/>
                <w:bCs/>
                <w:color w:val="auto"/>
                <w:kern w:val="0"/>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1开发区管委会协助落实土壤污染重点监管企业污染隐患排查、自行监测、拆除生产设备污染防治方案备案等制度；</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adjustRightInd w:val="0"/>
              <w:snapToGrid w:val="0"/>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Cs w:val="21"/>
                <w:highlight w:val="none"/>
                <w:u w:val="none"/>
              </w:rPr>
              <w:t>4 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成立园区应急组织机构，建立环境风险应急防控体系，定期开展应急演练，提高区域环境风险防范能力；</w:t>
            </w:r>
          </w:p>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开发区引进企业按照产业集中布局原则，新引入的医药企业集中布局在医药健康产业园内，形成产业链发展，加强厂区环境风险防控。</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禁止涉及易导致环境风险的有毒有害和易燃易爆物质的生产、使用、排放、贮运等新建、改扩建项目。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adjustRightInd w:val="0"/>
              <w:snapToGrid w:val="0"/>
              <w:rPr>
                <w:rFonts w:ascii="Times New Roman" w:hAnsi="Times New Roman" w:eastAsia="仿宋" w:cs="Times New Roman"/>
                <w:bCs/>
                <w:color w:val="auto"/>
                <w:kern w:val="0"/>
                <w:szCs w:val="21"/>
                <w:highlight w:val="none"/>
                <w:u w:val="none"/>
              </w:rPr>
            </w:pPr>
            <w:r>
              <w:rPr>
                <w:rFonts w:ascii="Times New Roman" w:hAnsi="Times New Roman" w:eastAsia="仿宋" w:cs="Times New Roman"/>
                <w:bCs/>
                <w:color w:val="auto"/>
                <w:kern w:val="0"/>
                <w:szCs w:val="21"/>
                <w:highlight w:val="none"/>
                <w:u w:val="none"/>
              </w:rPr>
              <w:t>1鼓励入区企业对工业用水进行重复利用，逐步开展污水处理厂中水利用工程建设；</w:t>
            </w:r>
          </w:p>
          <w:p>
            <w:pPr>
              <w:adjustRightInd w:val="0"/>
              <w:snapToGrid w:val="0"/>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bCs/>
                <w:color w:val="auto"/>
                <w:kern w:val="0"/>
                <w:szCs w:val="21"/>
                <w:highlight w:val="none"/>
                <w:u w:val="none"/>
              </w:rPr>
              <w:t>2用水量、水资源利用效率等指标完成上级部门下达的任务要求。</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hint="eastAsia" w:ascii="Times New Roman" w:hAnsi="Times New Roman" w:eastAsia="仿宋" w:cs="Times New Roman"/>
                <w:bCs/>
                <w:color w:val="auto"/>
                <w:kern w:val="0"/>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adjustRightInd w:val="0"/>
              <w:snapToGrid w:val="0"/>
              <w:rPr>
                <w:color w:val="auto"/>
                <w:highlight w:val="none"/>
                <w:u w:val="none"/>
              </w:rPr>
            </w:pPr>
            <w:r>
              <w:rPr>
                <w:rFonts w:ascii="Times New Roman" w:hAnsi="Times New Roman" w:eastAsia="仿宋" w:cs="Times New Roman"/>
                <w:bCs/>
                <w:color w:val="auto"/>
                <w:kern w:val="0"/>
                <w:szCs w:val="21"/>
                <w:highlight w:val="none"/>
                <w:u w:val="none"/>
              </w:rPr>
              <w:t>除在安全或者产业布局等方面有特殊要求的项目以外，应该避免新建和扩建采用非清洁燃料的项目和设施。</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ZH22010520004</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长春经济技术开发区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南区重点发展的主要产业为汽车零部件、光电信息、专用车、快速消费品；北区重点发展的主要产业为农副产品加工及其相关产业、石化设备与新能源装备制造产业、医药、医疗器械及食品制造加工业、保税仓储加工业等。</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color w:val="auto"/>
                <w:sz w:val="20"/>
                <w:szCs w:val="20"/>
                <w:highlight w:val="none"/>
                <w:u w:val="none"/>
              </w:rPr>
              <w:t>长春经济技术开发区是长春市“双心、三翼、多组团”整体规划中工业化推进的主要区域</w:t>
            </w:r>
          </w:p>
          <w:p>
            <w:pPr>
              <w:jc w:val="left"/>
              <w:rPr>
                <w:rFonts w:ascii="Times New Roman" w:hAnsi="Times New Roman" w:eastAsia="仿宋" w:cs="Times New Roman"/>
                <w:color w:val="auto"/>
                <w:sz w:val="20"/>
                <w:szCs w:val="20"/>
                <w:highlight w:val="none"/>
                <w:u w:val="none"/>
                <w:shd w:val="clear" w:color="auto" w:fill="FFFFFF"/>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color w:val="auto"/>
                <w:sz w:val="20"/>
                <w:szCs w:val="20"/>
                <w:highlight w:val="none"/>
                <w:u w:val="none"/>
              </w:rPr>
              <w:t>南区重点发展的主要产业为汽车零部件、光电信息、专用车、快速消费品；北区重点发展的主要产业为农副产品加工及其相关产业、石化设备与新能源装备制造产业、医药、医疗器械及食品制造加工业、保税仓储加工业等</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的项目：①制浆造纸业，主要指含制浆的造纸业；②化学原料及化学制品制造业，包括：石油加工、炼焦及核燃料加工业中的精炼石油产品的制造、原油加工及石油制品制造、人造原油生产、炼焦、核燃料加工等；③肥料制造业中的合成氨工业的氮肥制造；</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禁止建设新增铅、汞、铬、砷、镉、镍、铜重金属污染排放总量的项目；</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建成区禁止新增水泥、平板玻璃、焦化、化工等重污染企业；</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城镇人口密集区禁止新增危险化学品生产企业；</w:t>
            </w:r>
          </w:p>
          <w:p>
            <w:pPr>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7</w:t>
            </w:r>
            <w:r>
              <w:rPr>
                <w:rFonts w:ascii="Times New Roman" w:hAnsi="Times New Roman" w:eastAsia="仿宋" w:cs="Times New Roman"/>
                <w:color w:val="auto"/>
                <w:kern w:val="0"/>
                <w:szCs w:val="21"/>
                <w:highlight w:val="none"/>
                <w:u w:val="none"/>
              </w:rPr>
              <w:t>建成区原则上不再新建单台容量29兆瓦（40蒸吨/小时）以下燃煤锅炉，其他区域原则上不再新建单台容量14兆瓦（20蒸吨/小时）以下的燃煤锅炉；</w:t>
            </w:r>
          </w:p>
          <w:p>
            <w:pPr>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8</w:t>
            </w:r>
            <w:r>
              <w:rPr>
                <w:rFonts w:ascii="Times New Roman" w:hAnsi="Times New Roman" w:eastAsia="仿宋" w:cs="Times New Roman"/>
                <w:color w:val="auto"/>
                <w:kern w:val="0"/>
                <w:szCs w:val="21"/>
                <w:highlight w:val="none"/>
                <w:u w:val="none"/>
              </w:rPr>
              <w:t>长春长东北生物化工产业园区通过认定前，禁止新建、改扩建化工项目。</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2限制与开发区主导产业不相关、污染物排放量大的项目入区；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3从严控制新建、改建、扩建涉磷行业的项目建设，区内引入涉磷企业总磷总量需要倍量替代；</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4从严控制新建、改建、扩建涉重行业的项目建设；</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5严格控制钢铁、水泥、平板玻璃、石化、化工、有色金属等行业的高污染项目；</w:t>
            </w:r>
          </w:p>
          <w:p>
            <w:pPr>
              <w:jc w:val="left"/>
              <w:rPr>
                <w:color w:val="auto"/>
                <w:highlight w:val="none"/>
                <w:u w:val="none"/>
              </w:rPr>
            </w:pPr>
            <w:r>
              <w:rPr>
                <w:rFonts w:ascii="Times New Roman" w:hAnsi="Times New Roman" w:eastAsia="仿宋" w:cs="Times New Roman"/>
                <w:color w:val="auto"/>
                <w:kern w:val="0"/>
                <w:szCs w:val="21"/>
                <w:highlight w:val="none"/>
                <w:u w:val="none"/>
              </w:rPr>
              <w:t>6限制在长东北石材工业园、长春石材城两处石材产业园外新建、改扩建石材加工项目。</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1针对 “专用设备制造业和汽车制造业”，新建项目以高端设备制造为主，该类项日清洁生产水平须达到同行业先进水平。土地投资强度≥200万元/亩，万元工业增加值用水量≤9m</w:t>
            </w:r>
            <w:r>
              <w:rPr>
                <w:rFonts w:ascii="Times New Roman" w:hAnsi="Times New Roman" w:eastAsia="仿宋" w:cs="Times New Roman"/>
                <w:color w:val="auto"/>
                <w:kern w:val="0"/>
                <w:szCs w:val="21"/>
                <w:highlight w:val="none"/>
                <w:u w:val="none"/>
                <w:vertAlign w:val="superscript"/>
              </w:rPr>
              <w:t>3</w:t>
            </w:r>
            <w:r>
              <w:rPr>
                <w:rFonts w:ascii="Times New Roman" w:hAnsi="Times New Roman" w:eastAsia="仿宋" w:cs="Times New Roman"/>
                <w:color w:val="auto"/>
                <w:kern w:val="0"/>
                <w:szCs w:val="21"/>
                <w:highlight w:val="none"/>
                <w:u w:val="none"/>
              </w:rPr>
              <w:t>/万元，万元工业增加值能能耗≤0.5t标煤/万元，COD排放强度≤0.06kg/万元，氨氮排放强度≤0.005kg/万元，现有此类企业3-5年内整改达标或关闭退出；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2针对 “通用设备制造业”，新建项目清洁生产水平需达到国际先进水平，现有此类企业3-5年内整改达标；</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3用地冲突企业，在取得合法土地使用证前，禁止扩建和扩大厂区；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4《产业结构调整指导目录》中的淘汰类，全部列入本类，涉及的产业项目禁止新建和投资，现有此类企业3-5年内关闭退出；</w:t>
            </w:r>
          </w:p>
          <w:p>
            <w:pPr>
              <w:jc w:val="left"/>
              <w:rPr>
                <w:color w:val="auto"/>
                <w:highlight w:val="none"/>
                <w:u w:val="none"/>
              </w:rPr>
            </w:pPr>
            <w:r>
              <w:rPr>
                <w:rFonts w:ascii="Times New Roman" w:hAnsi="Times New Roman" w:eastAsia="仿宋" w:cs="Times New Roman"/>
                <w:color w:val="auto"/>
                <w:kern w:val="0"/>
                <w:szCs w:val="21"/>
                <w:highlight w:val="none"/>
                <w:u w:val="none"/>
              </w:rPr>
              <w:t>5现有不符合开发区产业发展方向和环境保护要求的企业应逐步升级改造或搬迁、淘汰。</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重点耗能行业能源利用效率达到国内先进水平。单位地区生产总值能耗大幅下降；单位地区生产总值二氧化碳排放比2005年下降65%以上。</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减排措施：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2开发区按照串联用水，分质用水、一水多用和循环利用的原则，提高水资源利用率，建设节水型园区；加快污水收集管网建设，开发区污废水基本实现全收集、全处理；</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6全面推进挥发性有机物总量减排，深入推进工业重点行业挥发性有机物深度治理，加强高效收集治理设施建设，实现排气筒与厂界双达标；逐步推进挥发性有机物排放重点企业、产业集中园区治理和在线监控设施建设，推动挥发性有机物产品源头替代。推进年排放量10吨以上和泄漏点位超过2000个的重点企业建设监测、防控和处理相结合的VOCs治理体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1针对“通用设备制造业”，项目清洁生产水平需达到国际先进水平，现有此类企业3-5年内整改达标；</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2针对“专用设备制造业和汽车制造业”，新建项目以高端设备制造为主，该类项日清洁生产水平须达到同行业先进水平。土地投资强度≥200万元/亩，万元工业增加值用水量≤9m</w:t>
            </w:r>
            <w:r>
              <w:rPr>
                <w:rFonts w:ascii="Times New Roman" w:hAnsi="Times New Roman" w:eastAsia="仿宋" w:cs="Times New Roman"/>
                <w:color w:val="auto"/>
                <w:kern w:val="0"/>
                <w:szCs w:val="21"/>
                <w:highlight w:val="none"/>
                <w:u w:val="none"/>
                <w:vertAlign w:val="superscript"/>
              </w:rPr>
              <w:t>3</w:t>
            </w:r>
            <w:r>
              <w:rPr>
                <w:rFonts w:ascii="Times New Roman" w:hAnsi="Times New Roman" w:eastAsia="仿宋" w:cs="Times New Roman"/>
                <w:color w:val="auto"/>
                <w:kern w:val="0"/>
                <w:szCs w:val="21"/>
                <w:highlight w:val="none"/>
                <w:u w:val="none"/>
              </w:rPr>
              <w:t>/万元，万元工业增加值能能耗≤0.5t标煤/万元，COD排放强度≤0.06kg/万元，氨氮排放强度≤0.005kg/万元，现有此类企业3-5年内整改达标或关闭退出；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3推动单台容量25兆瓦（35蒸吨/小时）及以上燃煤供热锅炉实施超低排放改造。按照最新的政策要求，逐步开展燃煤锅炉淘汰工作；</w:t>
            </w:r>
          </w:p>
          <w:p>
            <w:pPr>
              <w:jc w:val="left"/>
              <w:rPr>
                <w:color w:val="auto"/>
                <w:highlight w:val="none"/>
                <w:u w:val="none"/>
              </w:rPr>
            </w:pPr>
            <w:r>
              <w:rPr>
                <w:rFonts w:ascii="Times New Roman" w:hAnsi="Times New Roman" w:eastAsia="仿宋" w:cs="Times New Roman"/>
                <w:color w:val="auto"/>
                <w:kern w:val="0"/>
                <w:szCs w:val="21"/>
                <w:highlight w:val="none"/>
                <w:u w:val="none"/>
              </w:rPr>
              <w:t>4要建立健全档案管理制度，明确企业VOCs源谱，识别特征污染物，载明企业废气收集与治理设施建设情况、重污染天气应急预案、企业违法处罚等环保信息。鼓励对园区开展监测、排查、环保设施建设运营等一体化服务。</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77"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7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77"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jc w:val="left"/>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ZH22010520005</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长春北湖科技开发区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大气环境高排放重点管控区、水环境工业污染重点管控区、建设用地污染风险重点管控区、高污染燃料禁燃区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r>
              <w:rPr>
                <w:rFonts w:ascii="Times New Roman" w:hAnsi="Times New Roman" w:eastAsia="仿宋" w:cs="Times New Roman"/>
                <w:color w:val="auto"/>
                <w:sz w:val="20"/>
                <w:szCs w:val="20"/>
                <w:highlight w:val="none"/>
                <w:u w:val="none"/>
              </w:rPr>
              <w:t>《长春市人民政府关于划定高污染燃料禁燃区的通告》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禁止引入的项目：①禁止冶金、造纸、制革、农药制造、金属冶炼等对大气及水环境污染严重的项目；②C1351牲畜屠宰、C1352禽类屠宰不得进入该区域。</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9根据《中共吉林省委 吉林省人民政府 关于完整准确全面贯彻新发展理念做好碳达峰碳中和工作的实施意见》（2021年11月30日），优化产业结构，推进工业领域绿色化改造，推广应用绿色低碳技术、工艺和装备。强化能耗和二氧化碳排放双控制度。坚持节能优先，严格控制能耗和二氧化碳排放强度，合理控制能源消费总量，探索推进二氧化碳排放总量控制。加强产业布局、结构调整、节能审查与能耗双控的衔接，强化节能监察和执法，开展能耗及二氧化碳排放控制目标分析预警，严格落实目标责任。加强甲烷等非二氧化碳温室气体管控。</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9" w:type="pct"/>
            <w:vMerge w:val="continue"/>
            <w:shd w:val="clear" w:color="auto" w:fill="auto"/>
            <w:vAlign w:val="center"/>
          </w:tcPr>
          <w:p>
            <w:pPr>
              <w:rPr>
                <w:color w:val="auto"/>
                <w:highlight w:val="none"/>
                <w:u w:val="none"/>
              </w:rPr>
            </w:pPr>
          </w:p>
        </w:tc>
        <w:tc>
          <w:tcPr>
            <w:tcW w:w="492" w:type="pct"/>
            <w:vMerge w:val="continue"/>
            <w:shd w:val="clear" w:color="auto" w:fill="auto"/>
            <w:vAlign w:val="center"/>
          </w:tcPr>
          <w:p>
            <w:pPr>
              <w:rPr>
                <w:color w:val="auto"/>
                <w:highlight w:val="none"/>
                <w:u w:val="none"/>
              </w:rPr>
            </w:pPr>
          </w:p>
        </w:tc>
        <w:tc>
          <w:tcPr>
            <w:tcW w:w="400" w:type="pct"/>
            <w:vMerge w:val="continue"/>
            <w:tcBorders>
              <w:right w:val="single" w:color="auto" w:sz="4" w:space="0"/>
            </w:tcBorders>
            <w:shd w:val="clear" w:color="auto" w:fill="auto"/>
            <w:vAlign w:val="center"/>
          </w:tcPr>
          <w:p>
            <w:pPr>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59" w:type="pct"/>
            <w:vMerge w:val="continue"/>
            <w:shd w:val="clear" w:color="auto" w:fill="auto"/>
            <w:vAlign w:val="center"/>
          </w:tcPr>
          <w:p>
            <w:pPr>
              <w:widowControl/>
              <w:rPr>
                <w:color w:val="auto"/>
                <w:highlight w:val="none"/>
                <w:u w:val="none"/>
              </w:rPr>
            </w:pPr>
          </w:p>
        </w:tc>
        <w:tc>
          <w:tcPr>
            <w:tcW w:w="492" w:type="pct"/>
            <w:vMerge w:val="continue"/>
            <w:shd w:val="clear" w:color="auto" w:fill="auto"/>
            <w:vAlign w:val="center"/>
          </w:tcPr>
          <w:p>
            <w:pPr>
              <w:widowControl/>
              <w:rPr>
                <w:color w:val="auto"/>
                <w:highlight w:val="none"/>
                <w:u w:val="none"/>
              </w:rPr>
            </w:pPr>
          </w:p>
        </w:tc>
        <w:tc>
          <w:tcPr>
            <w:tcW w:w="400" w:type="pct"/>
            <w:vMerge w:val="continue"/>
            <w:tcBorders>
              <w:right w:val="single" w:color="auto" w:sz="4" w:space="0"/>
            </w:tcBorders>
            <w:shd w:val="clear" w:color="auto" w:fill="auto"/>
            <w:vAlign w:val="center"/>
          </w:tcPr>
          <w:p>
            <w:pPr>
              <w:widowControl/>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54"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59" w:type="pct"/>
            <w:vMerge w:val="continue"/>
            <w:shd w:val="clear" w:color="auto" w:fill="auto"/>
            <w:vAlign w:val="center"/>
          </w:tcPr>
          <w:p>
            <w:pPr>
              <w:widowControl/>
              <w:rPr>
                <w:color w:val="auto"/>
                <w:highlight w:val="none"/>
                <w:u w:val="none"/>
              </w:rPr>
            </w:pPr>
          </w:p>
        </w:tc>
        <w:tc>
          <w:tcPr>
            <w:tcW w:w="492" w:type="pct"/>
            <w:vMerge w:val="continue"/>
            <w:shd w:val="clear" w:color="auto" w:fill="auto"/>
            <w:vAlign w:val="center"/>
          </w:tcPr>
          <w:p>
            <w:pPr>
              <w:widowControl/>
              <w:rPr>
                <w:color w:val="auto"/>
                <w:highlight w:val="none"/>
                <w:u w:val="none"/>
              </w:rPr>
            </w:pPr>
          </w:p>
        </w:tc>
        <w:tc>
          <w:tcPr>
            <w:tcW w:w="400" w:type="pct"/>
            <w:vMerge w:val="continue"/>
            <w:tcBorders>
              <w:right w:val="single" w:color="auto" w:sz="4" w:space="0"/>
            </w:tcBorders>
            <w:shd w:val="clear" w:color="auto" w:fill="auto"/>
            <w:vAlign w:val="center"/>
          </w:tcPr>
          <w:p>
            <w:pPr>
              <w:widowControl/>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4"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ZH22010520006</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长春莲花山生态旅游度假区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w:t>
            </w:r>
            <w:r>
              <w:rPr>
                <w:rFonts w:hint="eastAsia" w:ascii="Times New Roman" w:hAnsi="Times New Roman" w:eastAsia="仿宋" w:cs="Times New Roman"/>
                <w:color w:val="auto"/>
                <w:kern w:val="0"/>
                <w:szCs w:val="21"/>
                <w:highlight w:val="none"/>
                <w:u w:val="none"/>
              </w:rPr>
              <w:t>重点发展冰雪旅游、影视文旅、数智科创、医美康养、医药健康、文化创意、体育休闲、现代农业、金融服务、总部经济、会议会展等产业</w:t>
            </w:r>
            <w:r>
              <w:rPr>
                <w:rFonts w:ascii="Times New Roman" w:hAnsi="Times New Roman" w:eastAsia="仿宋" w:cs="Times New Roman"/>
                <w:color w:val="auto"/>
                <w:kern w:val="0"/>
                <w:szCs w:val="21"/>
                <w:highlight w:val="none"/>
                <w:u w:val="none"/>
              </w:rPr>
              <w:t>。</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bCs/>
                <w:color w:val="auto"/>
                <w:sz w:val="20"/>
                <w:szCs w:val="20"/>
                <w:highlight w:val="none"/>
                <w:u w:val="none"/>
              </w:rPr>
              <w:t>绿色生态、文化创意、旅游度假、体育休闲、智慧智能、健康养生、金融服务、都市农业、会议会展、数字IT。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w:t>
            </w:r>
            <w:r>
              <w:rPr>
                <w:rFonts w:ascii="Times New Roman" w:hAnsi="Times New Roman" w:eastAsia="仿宋" w:cs="Times New Roman"/>
                <w:color w:val="auto"/>
                <w:sz w:val="20"/>
                <w:szCs w:val="20"/>
                <w:highlight w:val="none"/>
                <w:u w:val="none"/>
              </w:rPr>
              <w:t>《长春市人民政府关于划定高污染燃料禁燃区的通告》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jc w:val="center"/>
        </w:trPr>
        <w:tc>
          <w:tcPr>
            <w:tcW w:w="459" w:type="pct"/>
            <w:vMerge w:val="continue"/>
            <w:shd w:val="clear" w:color="auto" w:fill="auto"/>
            <w:vAlign w:val="center"/>
          </w:tcPr>
          <w:p>
            <w:pPr>
              <w:widowControl/>
              <w:rPr>
                <w:color w:val="auto"/>
                <w:highlight w:val="none"/>
                <w:u w:val="none"/>
              </w:rPr>
            </w:pPr>
          </w:p>
        </w:tc>
        <w:tc>
          <w:tcPr>
            <w:tcW w:w="492" w:type="pct"/>
            <w:vMerge w:val="continue"/>
            <w:shd w:val="clear" w:color="auto" w:fill="auto"/>
            <w:vAlign w:val="center"/>
          </w:tcPr>
          <w:p>
            <w:pPr>
              <w:widowControl/>
              <w:rPr>
                <w:color w:val="auto"/>
                <w:highlight w:val="none"/>
                <w:u w:val="none"/>
              </w:rPr>
            </w:pPr>
          </w:p>
        </w:tc>
        <w:tc>
          <w:tcPr>
            <w:tcW w:w="400" w:type="pct"/>
            <w:vMerge w:val="continue"/>
            <w:tcBorders>
              <w:right w:val="single" w:color="auto" w:sz="4" w:space="0"/>
            </w:tcBorders>
            <w:shd w:val="clear" w:color="auto" w:fill="auto"/>
            <w:vAlign w:val="center"/>
          </w:tcPr>
          <w:p>
            <w:pPr>
              <w:widowControl/>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禁养区内禁止建设养殖场或禁止建设有污染物排放的养殖场；</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饮用水地表水源各级保护区及准保护区内必须分别遵守下列规定：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①一级保护区内</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a禁止新建、扩建与供水设施和保护水源无关的建设项目；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b禁止向水域排放污水，已设置的排污口必须拆除；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c不得设置与供水需要无关的码头，禁止停靠船舶；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d禁止堆置和存放工业废渣、城市垃圾、粪便和其他废弃物；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e禁止设置油库；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f禁止从事种植、放养畜禽和网箱养殖活动；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g禁止可能污染水源的旅游活动和其他活动。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②二级保护区内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a禁止新建、改建、扩建排放污染物的建设项目；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b原有排污口依法拆除或者关闭；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c禁止设立装卸垃圾、粪便、油类和有毒物品的码头。</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③准保护区内 </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a禁止新建、扩建对水体污染严重的建设项目；改建建设项目，不得增加排污量。</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《湿地保护管理规定》（2017125）、《国家湿地公园管理办法》(20171227）和《吉林省湿地保护条例》（2017929）中禁止从事的活动；</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建成区原则上不再新建单台容量29兆瓦（40蒸吨/小时）以下燃煤锅炉，其他区域原则上不再新建单台容量14兆瓦（20蒸吨/小时）以下的燃煤锅炉。</w:t>
            </w:r>
          </w:p>
        </w:tc>
        <w:tc>
          <w:tcPr>
            <w:tcW w:w="954"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jc w:val="center"/>
        </w:trPr>
        <w:tc>
          <w:tcPr>
            <w:tcW w:w="459" w:type="pct"/>
            <w:vMerge w:val="continue"/>
            <w:shd w:val="clear" w:color="auto" w:fill="auto"/>
            <w:vAlign w:val="center"/>
          </w:tcPr>
          <w:p>
            <w:pPr>
              <w:widowControl/>
              <w:rPr>
                <w:color w:val="auto"/>
                <w:highlight w:val="none"/>
                <w:u w:val="none"/>
              </w:rPr>
            </w:pPr>
          </w:p>
        </w:tc>
        <w:tc>
          <w:tcPr>
            <w:tcW w:w="492" w:type="pct"/>
            <w:vMerge w:val="continue"/>
            <w:shd w:val="clear" w:color="auto" w:fill="auto"/>
            <w:vAlign w:val="center"/>
          </w:tcPr>
          <w:p>
            <w:pPr>
              <w:widowControl/>
              <w:rPr>
                <w:color w:val="auto"/>
                <w:highlight w:val="none"/>
                <w:u w:val="none"/>
              </w:rPr>
            </w:pPr>
          </w:p>
        </w:tc>
        <w:tc>
          <w:tcPr>
            <w:tcW w:w="400" w:type="pct"/>
            <w:vMerge w:val="continue"/>
            <w:tcBorders>
              <w:right w:val="single" w:color="auto" w:sz="4" w:space="0"/>
            </w:tcBorders>
            <w:shd w:val="clear" w:color="auto" w:fill="auto"/>
            <w:vAlign w:val="center"/>
          </w:tcPr>
          <w:p>
            <w:pPr>
              <w:widowControl/>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18" w:type="pct"/>
            <w:tcBorders>
              <w:left w:val="single" w:color="auto" w:sz="4" w:space="0"/>
              <w:right w:val="single" w:color="auto" w:sz="4" w:space="0"/>
            </w:tcBorders>
            <w:shd w:val="clear" w:color="auto" w:fill="auto"/>
            <w:vAlign w:val="center"/>
          </w:tcPr>
          <w:p>
            <w:pPr>
              <w:rPr>
                <w:rFonts w:hint="eastAsia" w:eastAsia="仿宋"/>
                <w:color w:val="auto"/>
                <w:highlight w:val="none"/>
                <w:u w:val="none"/>
                <w:lang w:eastAsia="zh-CN"/>
              </w:rPr>
            </w:pPr>
            <w:r>
              <w:rPr>
                <w:rFonts w:ascii="Times New Roman" w:hAnsi="Times New Roman" w:eastAsia="仿宋" w:cs="Times New Roman"/>
                <w:color w:val="auto"/>
                <w:kern w:val="0"/>
                <w:szCs w:val="21"/>
                <w:highlight w:val="none"/>
                <w:u w:val="none"/>
              </w:rPr>
              <w:t>1《产业结构调整指导目录》中的“限制类”项目</w:t>
            </w:r>
            <w:r>
              <w:rPr>
                <w:rFonts w:hint="eastAsia" w:ascii="Times New Roman" w:hAnsi="Times New Roman" w:eastAsia="仿宋" w:cs="Times New Roman"/>
                <w:color w:val="auto"/>
                <w:kern w:val="0"/>
                <w:szCs w:val="21"/>
                <w:highlight w:val="none"/>
                <w:u w:val="none"/>
                <w:lang w:eastAsia="zh-CN"/>
              </w:rPr>
              <w:t>。</w:t>
            </w:r>
          </w:p>
        </w:tc>
        <w:tc>
          <w:tcPr>
            <w:tcW w:w="954"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jc w:val="center"/>
        </w:trPr>
        <w:tc>
          <w:tcPr>
            <w:tcW w:w="459" w:type="pct"/>
            <w:vMerge w:val="continue"/>
            <w:shd w:val="clear" w:color="auto" w:fill="auto"/>
            <w:vAlign w:val="center"/>
          </w:tcPr>
          <w:p>
            <w:pPr>
              <w:widowControl/>
              <w:rPr>
                <w:color w:val="auto"/>
                <w:highlight w:val="none"/>
                <w:u w:val="none"/>
              </w:rPr>
            </w:pPr>
          </w:p>
        </w:tc>
        <w:tc>
          <w:tcPr>
            <w:tcW w:w="492" w:type="pct"/>
            <w:vMerge w:val="continue"/>
            <w:shd w:val="clear" w:color="auto" w:fill="auto"/>
            <w:vAlign w:val="center"/>
          </w:tcPr>
          <w:p>
            <w:pPr>
              <w:widowControl/>
              <w:rPr>
                <w:color w:val="auto"/>
                <w:highlight w:val="none"/>
                <w:u w:val="none"/>
              </w:rPr>
            </w:pPr>
          </w:p>
        </w:tc>
        <w:tc>
          <w:tcPr>
            <w:tcW w:w="400" w:type="pct"/>
            <w:vMerge w:val="continue"/>
            <w:tcBorders>
              <w:right w:val="single" w:color="auto" w:sz="4" w:space="0"/>
            </w:tcBorders>
            <w:shd w:val="clear" w:color="auto" w:fill="auto"/>
            <w:vAlign w:val="center"/>
          </w:tcPr>
          <w:p>
            <w:pPr>
              <w:widowControl/>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1在充分落实环保措施、对周围环境影响可接受的前提下，允许不符合空间布局的现有项目维持现状，除上述现有项目外，对于其他与产业布局不符的项目，建议实施搬迁改造；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54"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2度假区按照串联用水，分质用水、一水多用和循环利用的原则，提高水资源利用率，建设节水型度假区；加快污水收集管网建设，度假区污废水基本实现全收集、全处理；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6全面推进挥发性有机物总量减排，加强高效收集治理设施建设，实现排气筒与厂界双达标；逐步推进挥发性有机物排放重点企业、度假区治理和在线监控设施建设，推动挥发性有机物产品源头替代；推进年排放量10吨以上和泄漏点位超过2000个的重点企业建设监测、防控和处理相结合的VOCs治理体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1度假区管委会协助落实土壤污染重点监管企业污染隐患排查、自行监测、拆除生产设备污染防治方案备案等制度；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1成立度假区应急组织机构，建立环境风险应急防控体系，定期开展应急演练，提高区域环境风险防范能力，按时完成度假区应急预案修编。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度假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3健全度假区环境风险防控工程。建立企业、度假区和周边水系环境风险防控体系，建设完善的环境风险防控设施。</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1区内企业应建立完善风险防范体系及风险防范措施，做好与度假区管委会的联动；制定应急预案并及时修编，定期演练，加强对于风险防范措施的维护，保证措施有效、应急物质充足；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5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度假区按照串联用水，分质用水、一水多用和循环利用的原则，提高水资源利用率，建设节水型度假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b/>
                <w:color w:val="auto"/>
                <w:kern w:val="0"/>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18"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9" w:type="pct"/>
            <w:vMerge w:val="continue"/>
            <w:shd w:val="clear" w:color="auto" w:fill="auto"/>
            <w:vAlign w:val="center"/>
          </w:tcPr>
          <w:p>
            <w:pPr>
              <w:jc w:val="left"/>
              <w:rPr>
                <w:color w:val="auto"/>
                <w:highlight w:val="none"/>
                <w:u w:val="none"/>
              </w:rPr>
            </w:pPr>
          </w:p>
        </w:tc>
        <w:tc>
          <w:tcPr>
            <w:tcW w:w="492" w:type="pct"/>
            <w:vMerge w:val="continue"/>
            <w:shd w:val="clear" w:color="auto" w:fill="auto"/>
            <w:vAlign w:val="center"/>
          </w:tcPr>
          <w:p>
            <w:pPr>
              <w:jc w:val="left"/>
              <w:rPr>
                <w:color w:val="auto"/>
                <w:highlight w:val="none"/>
                <w:u w:val="none"/>
              </w:rPr>
            </w:pPr>
          </w:p>
        </w:tc>
        <w:tc>
          <w:tcPr>
            <w:tcW w:w="400" w:type="pct"/>
            <w:vMerge w:val="continue"/>
            <w:tcBorders>
              <w:right w:val="single" w:color="auto" w:sz="4" w:space="0"/>
            </w:tcBorders>
            <w:shd w:val="clear" w:color="auto" w:fill="auto"/>
            <w:vAlign w:val="center"/>
          </w:tcPr>
          <w:p>
            <w:pPr>
              <w:jc w:val="left"/>
              <w:rPr>
                <w:color w:val="auto"/>
                <w:highlight w:val="none"/>
                <w:u w:val="none"/>
              </w:rPr>
            </w:pPr>
          </w:p>
        </w:tc>
        <w:tc>
          <w:tcPr>
            <w:tcW w:w="419"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5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1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5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ZH22010520007</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二道区城镇开发边界</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4"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color w:val="auto"/>
                <w:sz w:val="20"/>
                <w:szCs w:val="20"/>
                <w:highlight w:val="none"/>
                <w:u w:val="none"/>
                <w:lang w:eastAsia="zh-CN"/>
              </w:rPr>
              <w:t>《长春市人民政府关于划定高污染燃料禁燃区的通告》</w:t>
            </w:r>
            <w:r>
              <w:rPr>
                <w:rFonts w:ascii="Times New Roman" w:hAnsi="Times New Roman" w:eastAsia="仿宋" w:cs="Times New Roman"/>
                <w:color w:val="auto"/>
                <w:sz w:val="20"/>
                <w:szCs w:val="20"/>
                <w:highlight w:val="none"/>
                <w:u w:val="none"/>
              </w:rPr>
              <w:t>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ZH22010520008</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二道区大气环境高排放重点管控区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4"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大气环境高排放重点管控区、建设用地污染风险重点管控区、高污染燃料禁燃区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color w:val="auto"/>
                <w:sz w:val="20"/>
                <w:szCs w:val="20"/>
                <w:highlight w:val="none"/>
                <w:u w:val="none"/>
                <w:lang w:eastAsia="zh-CN"/>
              </w:rPr>
              <w:t>《长春市人民政府关于划定高污染燃料禁燃区的通告》</w:t>
            </w:r>
            <w:r>
              <w:rPr>
                <w:rFonts w:ascii="Times New Roman" w:hAnsi="Times New Roman" w:eastAsia="仿宋" w:cs="Times New Roman"/>
                <w:color w:val="auto"/>
                <w:sz w:val="20"/>
                <w:szCs w:val="20"/>
                <w:highlight w:val="none"/>
                <w:u w:val="none"/>
              </w:rPr>
              <w:t>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ZH22010520009</w:t>
            </w:r>
          </w:p>
        </w:tc>
        <w:tc>
          <w:tcPr>
            <w:tcW w:w="49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二道区大气环境布局敏感重点管控区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1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74"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74"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9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74"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ZH22010530001</w:t>
            </w:r>
          </w:p>
        </w:tc>
        <w:tc>
          <w:tcPr>
            <w:tcW w:w="492" w:type="pct"/>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二道区一般管控区</w:t>
            </w:r>
          </w:p>
        </w:tc>
        <w:tc>
          <w:tcPr>
            <w:tcW w:w="400"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1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74"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 w:linePitch="312" w:charSpace="0"/>
        </w:sectPr>
      </w:pPr>
    </w:p>
    <w:p>
      <w:pPr>
        <w:keepNext/>
        <w:keepLines/>
        <w:outlineLvl w:val="1"/>
        <w:rPr>
          <w:rFonts w:ascii="Times New Roman" w:hAnsi="Times New Roman" w:eastAsia="仿宋" w:cs="Times New Roman"/>
          <w:b/>
          <w:bCs/>
          <w:color w:val="auto"/>
          <w:sz w:val="32"/>
          <w:szCs w:val="32"/>
          <w:highlight w:val="none"/>
          <w:u w:val="none"/>
        </w:rPr>
      </w:pPr>
      <w:bookmarkStart w:id="30" w:name="_Toc27572343"/>
      <w:bookmarkStart w:id="31" w:name="_Toc31640"/>
      <w:bookmarkStart w:id="32" w:name="_Toc23445"/>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五</w:t>
      </w:r>
      <w:r>
        <w:rPr>
          <w:rFonts w:ascii="Times New Roman" w:hAnsi="Times New Roman" w:eastAsia="仿宋" w:cs="Times New Roman"/>
          <w:b/>
          <w:bCs/>
          <w:color w:val="auto"/>
          <w:sz w:val="32"/>
          <w:szCs w:val="32"/>
          <w:highlight w:val="none"/>
          <w:u w:val="none"/>
        </w:rPr>
        <w:t>）长春市绿园区</w:t>
      </w:r>
      <w:bookmarkEnd w:id="30"/>
      <w:r>
        <w:rPr>
          <w:rFonts w:ascii="Times New Roman" w:hAnsi="Times New Roman" w:eastAsia="仿宋" w:cs="Times New Roman"/>
          <w:b/>
          <w:bCs/>
          <w:color w:val="auto"/>
          <w:sz w:val="32"/>
          <w:szCs w:val="32"/>
          <w:highlight w:val="none"/>
          <w:u w:val="none"/>
        </w:rPr>
        <w:t>生态环境准入清单</w:t>
      </w:r>
      <w:bookmarkEnd w:id="31"/>
      <w:bookmarkEnd w:id="32"/>
    </w:p>
    <w:p>
      <w:pPr>
        <w:jc w:val="center"/>
        <w:rPr>
          <w:rFonts w:ascii="Times New Roman" w:hAnsi="Times New Roman" w:eastAsia="仿宋" w:cs="Times New Roman"/>
          <w:b/>
          <w:color w:val="auto"/>
          <w:highlight w:val="none"/>
          <w:u w:val="none"/>
        </w:rPr>
      </w:pPr>
      <w:bookmarkStart w:id="33" w:name="_Toc27572344"/>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3-5</w:t>
      </w:r>
      <w:r>
        <w:rPr>
          <w:rFonts w:ascii="Times New Roman" w:hAnsi="Times New Roman" w:eastAsia="仿宋" w:cs="Times New Roman"/>
          <w:b/>
          <w:color w:val="auto"/>
          <w:highlight w:val="none"/>
          <w:u w:val="none"/>
        </w:rPr>
        <w:t>-1长春市绿园区区域特征研判</w:t>
      </w:r>
      <w:bookmarkEnd w:id="33"/>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1.《吉林省主体功能区规划》中的国家级重点开发区域——长吉图经济区。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位于吉林省中部，伊通河上游，省会长春市西部，面积216平方公里</w:t>
            </w:r>
            <w:r>
              <w:rPr>
                <w:rFonts w:hint="eastAsia" w:ascii="Times New Roman" w:hAnsi="Times New Roman" w:eastAsia="仿宋" w:cs="Times New Roman"/>
                <w:color w:val="auto"/>
                <w:kern w:val="0"/>
                <w:szCs w:val="21"/>
                <w:highlight w:val="none"/>
                <w:u w:val="none"/>
              </w:rPr>
              <w:t>，</w:t>
            </w:r>
            <w:r>
              <w:rPr>
                <w:rFonts w:ascii="Times New Roman" w:hAnsi="Times New Roman" w:eastAsia="仿宋" w:cs="Times New Roman"/>
                <w:color w:val="auto"/>
                <w:kern w:val="0"/>
                <w:szCs w:val="21"/>
                <w:highlight w:val="none"/>
                <w:u w:val="none"/>
              </w:rPr>
              <w:t>辖9个街道、3个镇、2 个开发区。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是长春市重要的行走机械制造配套、农副产品加工和城市蔬菜副食品供应基地。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推动以金融、文化、总部经济为主的高端服务业集聚发展，重点打造金融总部、信息科技、旅游会展、文化创意及高技术产业集聚区。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重点发展现代物流、生态休闲、都市农业等产业，推进老工业区搬迁改造，打造长春北部、东部和西部现代服务业中心区。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水环境质量需要持续改善</w:t>
            </w: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（1）改善区域水环境。</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（2）确保人为开发活动不挤占耕地。</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34" w:name="_Toc27572345"/>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3-5</w:t>
      </w:r>
      <w:r>
        <w:rPr>
          <w:rFonts w:ascii="Times New Roman" w:hAnsi="Times New Roman" w:eastAsia="仿宋" w:cs="Times New Roman"/>
          <w:b/>
          <w:color w:val="auto"/>
          <w:highlight w:val="none"/>
          <w:u w:val="none"/>
        </w:rPr>
        <w:t>-2长春市绿园区生态环境准入清单</w:t>
      </w:r>
      <w:bookmarkEnd w:id="34"/>
    </w:p>
    <w:tbl>
      <w:tblPr>
        <w:tblStyle w:val="20"/>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84"/>
        <w:gridCol w:w="2060"/>
        <w:gridCol w:w="1713"/>
        <w:gridCol w:w="1578"/>
        <w:gridCol w:w="2043"/>
        <w:gridCol w:w="7678"/>
        <w:gridCol w:w="40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487"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05"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37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98"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66"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69" w:type="pct"/>
            <w:vMerge w:val="restart"/>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ZH22010620001</w:t>
            </w:r>
          </w:p>
        </w:tc>
        <w:tc>
          <w:tcPr>
            <w:tcW w:w="487" w:type="pct"/>
            <w:vMerge w:val="restart"/>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长春皓月产业园区</w:t>
            </w:r>
          </w:p>
        </w:tc>
        <w:tc>
          <w:tcPr>
            <w:tcW w:w="405" w:type="pct"/>
            <w:vMerge w:val="restart"/>
            <w:tcBorders>
              <w:right w:val="single" w:color="auto" w:sz="4" w:space="0"/>
            </w:tcBorders>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firstLineChars="0"/>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建设以肉牛深加工、肉牛皮革、生物医药、医疗器械及与食品加工、肉牛相关的其他产业；房地产开发、文化教育与卫生用地、汽车零配件等为主要产业的工业园区。</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大气环境高排放重点管控区、水环境工业污染重点管控区、高污染燃料禁燃区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世界级农产品现代加工产业基地</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以肉牛深加工、肉牛皮革、生物医药、医疗器械及与食品加工、肉牛相关的其他产业；房地产开发、文化教育与卫生用地、汽车零配件等</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1不符合园区产业发展方向，能耗、物耗较大，污染较重的项目。尤其是对大气及水环境污染严重的项目，耗水量较大的项目，应坚决禁止其入区；</w:t>
            </w:r>
          </w:p>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2原料、产品或生产过程中涉及的污染物种类多、数量大或毒性大、难以在环境中降解的项目；</w:t>
            </w:r>
          </w:p>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3鉴于区域水环境承载力较低，建设范围内还应禁止引进下列各行业的建设项目：</w:t>
            </w:r>
          </w:p>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万元工业产值耗水量大，且无法通过区域总量平衡解决的项目；</w:t>
            </w:r>
          </w:p>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工业固废或危险废物产生量大，且不能有效综合利用或进行安全处理的项目。</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38"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1对于《产业结构调整指导目录》限制发展的机械行业中的有关项目，在其进区前严格控制其建设规模、产品种类等。对于机械制造业应根据机械种类、能耗标准等限制其入区；</w:t>
            </w:r>
          </w:p>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2按照原环评批复要求严格限制高耗能、高污染、治理难度大的重污染行业入区。</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bCs/>
                <w:color w:val="auto"/>
                <w:kern w:val="0"/>
                <w:szCs w:val="21"/>
                <w:highlight w:val="none"/>
                <w:u w:val="none"/>
              </w:rPr>
              <w:t>不符合空间布局活动的退出要求</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园区加强环境管理，保证区内各企业污染物达标排放，保证开发区内及周边的环境质量。在经济技术条件允许的情况下，对不符合规划要求的企业,制定搬迁计划，充分考虑区位条件、资源禀赋、发展基础和环境承载能力，结合城市总体发展布局，合理确定搬迁改造的方向和目标，统筹安排规模和时序，要做好沟通协调、宣传引导和善后补偿工作，营造良好工作氛围，把好事办好。将不符合空间布局的相关企业搬离园区。</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7"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总量</w:t>
            </w:r>
            <w:r>
              <w:rPr>
                <w:rFonts w:ascii="Times New Roman" w:hAnsi="Times New Roman" w:eastAsia="仿宋" w:cs="Times New Roman"/>
                <w:bCs/>
                <w:color w:val="auto"/>
                <w:kern w:val="0"/>
                <w:szCs w:val="21"/>
                <w:highlight w:val="none"/>
                <w:u w:val="none"/>
              </w:rPr>
              <w:t>控制和污染物减排</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firstLineChars="0"/>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园区加大区内污水治理力度，减少污染物排放，并督促企业进行污染物减排。逐步推进挥发性有机物排放重点企业、开发区治理和在线监控设施建设。推进重点企业建设监测、防控和处理相结合的环境治理体系。</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 xml:space="preserve">无 </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17"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spacing w:before="0" w:after="0" w:line="240" w:lineRule="auto"/>
              <w:ind w:firstLine="0" w:firstLineChars="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2土壤环境污染重点监管企业、危化品仓储企业落实《工矿用地土壤环境管理办法（试行）》 要求，实施项目环评、设计建设、拆除设施、终止经营全生命周期土壤和地下水污染防治。</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bCs/>
                <w:color w:val="auto"/>
                <w:kern w:val="0"/>
                <w:szCs w:val="21"/>
                <w:highlight w:val="none"/>
                <w:u w:val="none"/>
              </w:rPr>
              <w:t>园区环境风险防控要求</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1园区应完善风险防范措施管理体系建设；定期修订环境应急预案，成立应急领导小组，保证应急物资。</w:t>
            </w:r>
          </w:p>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2加强发性事持性及实例的研究；对易引发突发性环境污类事件的场所安装相应的监测和预警装置，或设置专门的监视室、监控室；</w:t>
            </w:r>
          </w:p>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3园区疗急指挥部建立园区危险性物质的数据库，包括危险性物质详组的物理化学特性、数量、存放地点；</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bCs/>
                <w:color w:val="auto"/>
                <w:kern w:val="0"/>
                <w:szCs w:val="21"/>
                <w:highlight w:val="none"/>
                <w:u w:val="none"/>
              </w:rPr>
              <w:t>企业环境风险防控要求</w:t>
            </w:r>
          </w:p>
        </w:tc>
        <w:tc>
          <w:tcPr>
            <w:tcW w:w="1815" w:type="pct"/>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1严格管理涉及易导致环境风险的有毒有害和易燃易爆物质的生产、使用、排放、贮运等新建、改扩建项目。</w:t>
            </w:r>
          </w:p>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2督促各企业落实园区对工艺设备、生产过程、危险化学品贮运、电气电讯、防及火灾报警系统、风险管理等各方面风险防范措施的要求，定期检查，加大管理处罚力度。</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043" w:type="dxa"/>
            <w:tcBorders>
              <w:left w:val="single" w:color="auto" w:sz="4" w:space="0"/>
              <w:right w:val="single" w:color="auto" w:sz="4" w:space="0"/>
            </w:tcBorders>
            <w:shd w:val="clear" w:color="auto" w:fill="auto"/>
            <w:vAlign w:val="center"/>
          </w:tcPr>
          <w:p>
            <w:pPr>
              <w:spacing w:before="0" w:after="0" w:line="240" w:lineRule="auto"/>
              <w:ind w:firstLine="0" w:firstLineChars="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w:t>
            </w:r>
            <w:r>
              <w:rPr>
                <w:rFonts w:ascii="Times New Roman" w:hAnsi="Times New Roman" w:eastAsia="仿宋" w:cs="Times New Roman"/>
                <w:bCs/>
                <w:color w:val="auto"/>
                <w:kern w:val="0"/>
                <w:szCs w:val="21"/>
                <w:highlight w:val="none"/>
                <w:u w:val="none"/>
              </w:rPr>
              <w:t>利用效率要求</w:t>
            </w:r>
          </w:p>
        </w:tc>
        <w:tc>
          <w:tcPr>
            <w:tcW w:w="7678" w:type="dxa"/>
            <w:tcBorders>
              <w:left w:val="single" w:color="auto" w:sz="4" w:space="0"/>
              <w:right w:val="single" w:color="auto" w:sz="4" w:space="0"/>
            </w:tcBorders>
            <w:shd w:val="clear" w:color="auto" w:fill="auto"/>
            <w:vAlign w:val="center"/>
          </w:tcPr>
          <w:p>
            <w:pPr>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1鼓励用水量较大的入区的企业在自建污水处理站的同时尽量配套设计中水回用系统。</w:t>
            </w:r>
          </w:p>
          <w:p>
            <w:pPr>
              <w:spacing w:before="0" w:after="0" w:line="240" w:lineRule="auto"/>
              <w:ind w:firstLine="0" w:firstLineChars="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43" w:type="dxa"/>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地下水开采要求</w:t>
            </w:r>
          </w:p>
        </w:tc>
        <w:tc>
          <w:tcPr>
            <w:tcW w:w="7678" w:type="dxa"/>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严控地下水开采，加快区内供水管网建设，集中供水管网覆盖区域不得私自取用地下水。以水定产，避免区内地下水过度开采。</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43" w:type="dxa"/>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能源利用效率要求</w:t>
            </w:r>
          </w:p>
        </w:tc>
        <w:tc>
          <w:tcPr>
            <w:tcW w:w="7678" w:type="dxa"/>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能耗指标完成上级部门下达的任务要求。</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43" w:type="dxa"/>
            <w:tcBorders>
              <w:left w:val="single" w:color="auto" w:sz="4" w:space="0"/>
              <w:right w:val="single" w:color="auto" w:sz="4" w:space="0"/>
            </w:tcBorders>
            <w:shd w:val="clear" w:color="auto" w:fill="auto"/>
            <w:vAlign w:val="center"/>
          </w:tcPr>
          <w:p>
            <w:pPr>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高污染燃料禁烧</w:t>
            </w:r>
          </w:p>
        </w:tc>
        <w:tc>
          <w:tcPr>
            <w:tcW w:w="7678" w:type="dxa"/>
            <w:tcBorders>
              <w:left w:val="single" w:color="auto" w:sz="4" w:space="0"/>
              <w:right w:val="single" w:color="auto" w:sz="4" w:space="0"/>
            </w:tcBorders>
            <w:shd w:val="clear" w:color="auto" w:fill="auto"/>
            <w:vAlign w:val="center"/>
          </w:tcPr>
          <w:p>
            <w:pPr>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园区内禁止燃用、销售高污染燃料和新建、改（扩）建任何燃用高污染燃料的设施。</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4" w:hRule="atLeast"/>
        </w:trPr>
        <w:tc>
          <w:tcPr>
            <w:tcW w:w="469" w:type="pct"/>
            <w:vMerge w:val="restart"/>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ZH22010620002</w:t>
            </w:r>
          </w:p>
        </w:tc>
        <w:tc>
          <w:tcPr>
            <w:tcW w:w="487" w:type="pct"/>
            <w:vMerge w:val="restart"/>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长春绿园经济开发区</w:t>
            </w:r>
          </w:p>
        </w:tc>
        <w:tc>
          <w:tcPr>
            <w:tcW w:w="405" w:type="pct"/>
            <w:vMerge w:val="restart"/>
            <w:tcBorders>
              <w:right w:val="single" w:color="auto" w:sz="4" w:space="0"/>
            </w:tcBorders>
            <w:shd w:val="clear" w:color="auto" w:fill="auto"/>
            <w:vAlign w:val="center"/>
          </w:tcPr>
          <w:p>
            <w:pPr>
              <w:widowControl/>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2严格按照国家产业政策以及整合后开发区总体规划和产业定位要求选择落区项目；</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3轨道交通装备制造产业，包括整车制造、配套零部件生产及其他配套服务等； </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4汽车产业，包括汽车零部件生产、新能源汽车及零部件、车用电子电器、车辆改装等配套产业及研发、检测等服务业； </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5高端装备制造业，包括高档数控机床、机器人、3D 打印、航空航天装备、电子电器等高端装备制造业； </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6医药制造产业及食品轻工、物流仓储、服务业等；</w:t>
            </w:r>
          </w:p>
          <w:p>
            <w:pPr>
              <w:widowControl/>
              <w:spacing w:before="0" w:after="0" w:line="240" w:lineRule="auto"/>
              <w:ind w:firstLine="0" w:firstLineChars="0"/>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7循环经济产业。</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以轨道交通装备产业、汽车</w:t>
            </w:r>
            <w:r>
              <w:rPr>
                <w:rFonts w:hint="eastAsia" w:ascii="Times New Roman" w:hAnsi="Times New Roman" w:eastAsia="仿宋" w:cs="Times New Roman"/>
                <w:bCs/>
                <w:color w:val="auto"/>
                <w:kern w:val="0"/>
                <w:sz w:val="20"/>
                <w:szCs w:val="20"/>
                <w:highlight w:val="none"/>
                <w:u w:val="none"/>
              </w:rPr>
              <w:t>配套</w:t>
            </w:r>
            <w:r>
              <w:rPr>
                <w:rFonts w:ascii="Times New Roman" w:hAnsi="Times New Roman" w:eastAsia="仿宋" w:cs="Times New Roman"/>
                <w:bCs/>
                <w:color w:val="auto"/>
                <w:kern w:val="0"/>
                <w:sz w:val="20"/>
                <w:szCs w:val="20"/>
                <w:highlight w:val="none"/>
                <w:u w:val="none"/>
              </w:rPr>
              <w:t>产业、高端装备制造业、医药制造产业及食品轻工、物流仓储、服务业、循环经济产业等为主的现代化综合工业园区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轨道交通装备产业、汽车</w:t>
            </w:r>
            <w:r>
              <w:rPr>
                <w:rFonts w:hint="eastAsia" w:ascii="Times New Roman" w:hAnsi="Times New Roman" w:eastAsia="仿宋" w:cs="Times New Roman"/>
                <w:bCs/>
                <w:color w:val="auto"/>
                <w:kern w:val="0"/>
                <w:sz w:val="20"/>
                <w:szCs w:val="20"/>
                <w:highlight w:val="none"/>
                <w:u w:val="none"/>
              </w:rPr>
              <w:t>配套</w:t>
            </w:r>
            <w:r>
              <w:rPr>
                <w:rFonts w:ascii="Times New Roman" w:hAnsi="Times New Roman" w:eastAsia="仿宋" w:cs="Times New Roman"/>
                <w:bCs/>
                <w:color w:val="auto"/>
                <w:kern w:val="0"/>
                <w:sz w:val="20"/>
                <w:szCs w:val="20"/>
                <w:highlight w:val="none"/>
                <w:u w:val="none"/>
              </w:rPr>
              <w:t>产业、高端装备制造业、医药制造产业及食品轻工、物流</w:t>
            </w:r>
            <w:r>
              <w:rPr>
                <w:rFonts w:hint="eastAsia" w:ascii="Times New Roman" w:hAnsi="Times New Roman" w:eastAsia="仿宋" w:cs="Times New Roman"/>
                <w:bCs/>
                <w:color w:val="auto"/>
                <w:kern w:val="0"/>
                <w:sz w:val="20"/>
                <w:szCs w:val="20"/>
                <w:highlight w:val="none"/>
                <w:u w:val="none"/>
              </w:rPr>
              <w:t>贸易</w:t>
            </w:r>
            <w:r>
              <w:rPr>
                <w:rFonts w:ascii="Times New Roman" w:hAnsi="Times New Roman" w:eastAsia="仿宋" w:cs="Times New Roman"/>
                <w:bCs/>
                <w:color w:val="auto"/>
                <w:kern w:val="0"/>
                <w:sz w:val="20"/>
                <w:szCs w:val="20"/>
                <w:highlight w:val="none"/>
                <w:u w:val="none"/>
              </w:rPr>
              <w:t>、服务业、循环经济产业等</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4"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与整合后的开发区总体规划和产业定位不相符的项目；</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高污染、高耗水、高能耗的项目，如造纸、水泥、钢铁等项目；需进入化工园区的化工项目；</w:t>
            </w:r>
          </w:p>
          <w:p>
            <w:pPr>
              <w:widowControl/>
              <w:spacing w:before="0" w:after="0" w:line="240" w:lineRule="auto"/>
              <w:ind w:firstLine="0" w:firstLineChars="0"/>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没有重金属污染物总量指标或涉重污染物不能零排放的电镀等表面处理项目。</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4"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bCs/>
                <w:color w:val="auto"/>
                <w:szCs w:val="18"/>
                <w:highlight w:val="none"/>
                <w:u w:val="none"/>
              </w:rPr>
              <w:t>限制开发建设活动</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1《产业结构调整指导目录》中限制类项目；</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开发区规划环评“环境准入负面清单”限制引入的新建项目；</w:t>
            </w:r>
          </w:p>
          <w:p>
            <w:pPr>
              <w:widowControl/>
              <w:spacing w:before="0" w:after="0" w:line="240" w:lineRule="auto"/>
              <w:ind w:firstLine="0" w:firstLineChars="0"/>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不符合开发区规划和产业定位且不符合环保要求的现有项目的扩建。</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4"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1在充分落实环保措施、对周围环境影响可接受的前提下，允许不符合空间布局的现有项目进行改扩建工程；</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2现有不符合开发区产业发展方向和环境保护要求的企业应逐步升级改造或搬迁、淘汰；</w:t>
            </w:r>
          </w:p>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3用地冲突企业，在取得合法土地使用证前，禁控扩建。</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9"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szCs w:val="18"/>
                <w:highlight w:val="none"/>
                <w:u w:val="none"/>
              </w:rPr>
              <w:t>总量控制和污染物减排</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1符合省市区生态环境主管部门下达的污染物排放总量控制指标要求；</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2新建、改建、扩建重点行业建设项目实行主要污染物排放总量指标倍量置换；</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3推进企业清洁生产工作，减少碳排放量；</w:t>
            </w:r>
          </w:p>
          <w:p>
            <w:pPr>
              <w:widowControl/>
              <w:spacing w:before="0" w:after="0" w:line="240" w:lineRule="auto"/>
              <w:ind w:firstLine="0" w:firstLineChars="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4根据《排污许可证申请与核发技术规范》相关要求，逐步完善废气、废水排放重点企业在线监控设施建设。。</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1完善污水管网建设，全面实现雨污分流；</w:t>
            </w:r>
          </w:p>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2加快西新污水处理厂升级改造和扩建工程。</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spacing w:before="0" w:after="0" w:line="240" w:lineRule="auto"/>
              <w:ind w:firstLine="0" w:firstLineChars="0"/>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2土壤环境污染重点监管企业、危化品仓储企业落实《工矿用地土壤环境管理办法（试行）》 要求，实施项目环评、设计建设、拆除设施、终止经营全生命周期土壤和地下水污染防治。</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开发区应制定环境风险应急预案，建立自身的应急组织机构，并明确管理职责，保证应急物资，定期开展应急演练，制定应急联动方案，做好应急监测准备，提高区域环境风险防范能力。</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1严格管理涉及易导致环境风险的有毒有害和易燃易爆物质的生产、使用、排放、贮运等新建、改扩建项目。</w:t>
            </w:r>
          </w:p>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2区内涉及生态环境风险物质、风险源得企业应建立完善风险防范体系及风险防范措施，做好与开发区的联动；制定应急预案并及时修编，定期演练，加强对于风险防范措施的维护，保证措施有效、应急物资充足。</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trPr>
        <w:tc>
          <w:tcPr>
            <w:tcW w:w="469"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87" w:type="pct"/>
            <w:vMerge w:val="continue"/>
            <w:shd w:val="clear" w:color="auto" w:fill="auto"/>
            <w:vAlign w:val="center"/>
          </w:tcPr>
          <w:p>
            <w:pPr>
              <w:widowControl/>
              <w:rPr>
                <w:rFonts w:ascii="Times New Roman" w:hAnsi="Times New Roman" w:eastAsia="仿宋" w:cs="Times New Roman"/>
                <w:bCs/>
                <w:color w:val="auto"/>
                <w:kern w:val="0"/>
                <w:sz w:val="20"/>
                <w:szCs w:val="20"/>
                <w:highlight w:val="none"/>
                <w:u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1鼓励入区企业对工业用水进行重复利用，水耗指标满足行业清洁生产评价指标体系要求；</w:t>
            </w:r>
          </w:p>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2逐步开展污水处理厂中水利用工程建设；</w:t>
            </w:r>
          </w:p>
          <w:p>
            <w:pPr>
              <w:widowControl/>
              <w:spacing w:before="0" w:after="0" w:line="240" w:lineRule="auto"/>
              <w:ind w:firstLine="0" w:firstLineChars="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3用水量、水资源利用效率等指标完成上级部门下达的任务要求。</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地下水开采要求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严控地下水开采，加快区内供水管网建设，集中供水管网覆盖区域不得私自取用地下水。以水定产，避免区内地下水过度开采。</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7"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能源利用效率要求</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能耗指标完成上级部门下达的任务要求。</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widowControl/>
              <w:spacing w:before="0" w:after="0" w:line="240" w:lineRule="auto"/>
              <w:ind w:firstLine="0" w:firstLineChars="0"/>
              <w:jc w:val="center"/>
              <w:rPr>
                <w:color w:val="auto"/>
                <w:highlight w:val="none"/>
                <w:u w:val="none"/>
              </w:rPr>
            </w:pPr>
            <w:r>
              <w:rPr>
                <w:rFonts w:ascii="Times New Roman" w:hAnsi="Times New Roman" w:eastAsia="仿宋" w:cs="Times New Roman"/>
                <w:color w:val="auto"/>
                <w:kern w:val="0"/>
                <w:szCs w:val="21"/>
                <w:highlight w:val="none"/>
                <w:u w:val="none"/>
              </w:rPr>
              <w:t>高污染燃料禁烧</w:t>
            </w:r>
          </w:p>
        </w:tc>
        <w:tc>
          <w:tcPr>
            <w:tcW w:w="1815" w:type="pct"/>
            <w:tcBorders>
              <w:left w:val="single" w:color="auto" w:sz="4" w:space="0"/>
              <w:right w:val="single" w:color="auto" w:sz="4" w:space="0"/>
            </w:tcBorders>
            <w:shd w:val="clear" w:color="auto" w:fill="auto"/>
            <w:vAlign w:val="center"/>
          </w:tcPr>
          <w:p>
            <w:pPr>
              <w:widowControl/>
              <w:spacing w:before="0" w:after="0" w:line="240" w:lineRule="auto"/>
              <w:ind w:firstLine="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widowControl/>
              <w:spacing w:before="0" w:after="0" w:line="240" w:lineRule="auto"/>
              <w:ind w:firstLine="0" w:firstLineChars="0"/>
              <w:jc w:val="left"/>
              <w:rPr>
                <w:color w:val="auto"/>
                <w:highlight w:val="none"/>
                <w:u w:val="none"/>
              </w:rPr>
            </w:pPr>
            <w:r>
              <w:rPr>
                <w:rFonts w:ascii="Times New Roman" w:hAnsi="Times New Roman" w:eastAsia="仿宋" w:cs="Times New Roman"/>
                <w:color w:val="auto"/>
                <w:kern w:val="0"/>
                <w:szCs w:val="21"/>
                <w:highlight w:val="none"/>
                <w:u w:val="none"/>
              </w:rPr>
              <w:t>2禁止新建、扩建燃用高污染燃料的锅炉、窑炉等燃烧设施（单台额定功率29MW及以上的集中供热锅炉、热电联产锅炉除外）。积极推进区内供热（汽）管网建设，尽快实现开发区集中供热全覆盖。在集中供热未覆盖区，应采用电等清洁能源或生物质成型燃料作为过渡热源。园区新建供热设施须执行特别排放限值。</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5" w:hRule="atLeast"/>
        </w:trPr>
        <w:tc>
          <w:tcPr>
            <w:tcW w:w="469"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ZH22010620003</w:t>
            </w:r>
          </w:p>
        </w:tc>
        <w:tc>
          <w:tcPr>
            <w:tcW w:w="48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长春汽车经济技术开发区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鼓励发展的项目应符合开发区的发展方向，优化区内产业结构，提高整体经济实力，并能达到区内循环经济要求，适合区域自然环境，满足行业清洁生产要求，环保达标排放，符合地区总量要求的产业项目。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1汽车零部件及汽车整车制造：汽车制造业、橡胶和塑料制品业、金属制品业；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2汽车零部件及汽车整车后服务：以集群化的产业聚集区为主体，鼓励与汽车生产的后服务产业入区如废旧资源综合利用业等；</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3属于汽车制造产业上下游延长链项目等；</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4属于国家和吉林省国民经济和社会发展第十四个五年规划纲要中大力发展的新能源等支柱产业和新兴战略性产业。</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长春汽车经济技术开发区是长春市汽车产业的核心区域，拥有一定规模的配套体系和一定竞争优势的零部件制造企业集群，也是国内汽车研发教育机构最密集地区，有完善的汽车后市场服务区。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汽车制造、汽车零部件制造</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5"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禁止入区的项目主要是不符合开发区的产业发展方向的，不符合清洁生产要求，环境排放要求，形成劣迹环境效应的排放，主要为：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1国际上和国家各部门禁止或准备禁止生产的项目、明令淘汰项目；《产业结构调整指导目录》中</w:t>
            </w:r>
            <w:r>
              <w:rPr>
                <w:rFonts w:hint="eastAsia" w:ascii="Times New Roman" w:hAnsi="Times New Roman" w:eastAsia="仿宋" w:cs="Times New Roman"/>
                <w:color w:val="auto"/>
                <w:kern w:val="0"/>
                <w:szCs w:val="21"/>
                <w:highlight w:val="none"/>
                <w:u w:val="none"/>
                <w:lang w:val="en-US" w:eastAsia="zh-CN"/>
              </w:rPr>
              <w:t>淘汰类</w:t>
            </w:r>
            <w:r>
              <w:rPr>
                <w:rFonts w:ascii="Times New Roman" w:hAnsi="Times New Roman" w:eastAsia="仿宋" w:cs="Times New Roman"/>
                <w:color w:val="auto"/>
                <w:kern w:val="0"/>
                <w:szCs w:val="21"/>
                <w:highlight w:val="none"/>
                <w:u w:val="none"/>
              </w:rPr>
              <w:t>；</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2生产方式落后、严重浪费资源和污染资源的项目；</w:t>
            </w:r>
          </w:p>
          <w:p>
            <w:pPr>
              <w:rPr>
                <w:color w:val="auto"/>
                <w:highlight w:val="none"/>
                <w:u w:val="none"/>
              </w:rPr>
            </w:pPr>
            <w:r>
              <w:rPr>
                <w:rFonts w:ascii="Times New Roman" w:hAnsi="Times New Roman" w:eastAsia="仿宋" w:cs="Times New Roman"/>
                <w:color w:val="auto"/>
                <w:kern w:val="0"/>
                <w:szCs w:val="21"/>
                <w:highlight w:val="none"/>
                <w:u w:val="none"/>
              </w:rPr>
              <w:t>3禁止新建40蒸吨/小时以下的燃煤锅炉（集中供热建成后，企业在满足生产以及生活用热的前提下，应依托集中供热）。</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5"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限制建设的项目主要是在开发区已建成投产并形成一定规模，或是历史遗留项目，他们能为当地创造可观的经济效益，带动其它产业迅速发展，但能耗、物耗相对较大，或对环境有一定的污染，开发区应限制这类项目的发展，督促其进行清洁生产，严格控制其污染排放量，适当时候可将其替代、搬迁或停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1《产业结构调整指导目录》中限制类。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限制低速汽车（三轮汽车、低速货车）、配套单缸柴油机的皮带传动小四轮拖拉机，配套单缸柴油机的手扶拖拉机，滑动齿轮换档、排放达不到要求的50马力以下轮式拖拉机、背负式手动压缩式喷雾器、背负式机动喷雾喷粉机、手动插秧机项目入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两高”限制要求：新建“两高”项目应按照《关于加强重点行业建设项目区域削减措施监督管理的通知》要求，依据区域环境质量改善目标，制定配套区域污染物削减方案，采取有效的污染物区域削减措施，腾出足够的环境容量；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大宗物料优先采用铁路、管道或水路运输，短途接驳优先使用新能源车辆运输。</w:t>
            </w:r>
          </w:p>
          <w:p>
            <w:pPr>
              <w:rPr>
                <w:color w:val="auto"/>
                <w:highlight w:val="none"/>
                <w:u w:val="none"/>
              </w:rPr>
            </w:pPr>
            <w:r>
              <w:rPr>
                <w:rFonts w:ascii="Times New Roman" w:hAnsi="Times New Roman" w:eastAsia="仿宋" w:cs="Times New Roman"/>
                <w:color w:val="auto"/>
                <w:kern w:val="0"/>
                <w:szCs w:val="21"/>
                <w:highlight w:val="none"/>
                <w:u w:val="none"/>
              </w:rPr>
              <w:t>5限制水性、高固份、粉末、紫外光固化涂料等低挥发性有机物含量涂料的使用比例达到50%以下项目入区。</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5" w:hRule="atLeast"/>
        </w:trPr>
        <w:tc>
          <w:tcPr>
            <w:tcW w:w="469" w:type="pct"/>
            <w:vMerge w:val="continue"/>
            <w:shd w:val="clear" w:color="auto" w:fill="auto"/>
            <w:vAlign w:val="center"/>
          </w:tcPr>
          <w:p>
            <w:pPr>
              <w:jc w:val="left"/>
              <w:rPr>
                <w:color w:val="auto"/>
                <w:highlight w:val="none"/>
                <w:u w:val="none"/>
              </w:rPr>
            </w:pPr>
          </w:p>
        </w:tc>
        <w:tc>
          <w:tcPr>
            <w:tcW w:w="487" w:type="pct"/>
            <w:vMerge w:val="continue"/>
            <w:shd w:val="clear" w:color="auto" w:fill="auto"/>
            <w:vAlign w:val="center"/>
          </w:tcPr>
          <w:p>
            <w:pPr>
              <w:jc w:val="left"/>
              <w:rPr>
                <w:color w:val="auto"/>
                <w:highlight w:val="none"/>
                <w:u w:val="none"/>
              </w:rPr>
            </w:pPr>
          </w:p>
        </w:tc>
        <w:tc>
          <w:tcPr>
            <w:tcW w:w="405" w:type="pct"/>
            <w:vMerge w:val="continue"/>
            <w:tcBorders>
              <w:right w:val="single" w:color="auto" w:sz="4" w:space="0"/>
            </w:tcBorders>
            <w:shd w:val="clear" w:color="auto" w:fill="auto"/>
            <w:vAlign w:val="center"/>
          </w:tcPr>
          <w:p>
            <w:pPr>
              <w:jc w:val="left"/>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815"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禁止对与所在功能区定位不符的企业扩建，鼓励上述企业逐步升级改造。</w:t>
            </w:r>
          </w:p>
        </w:tc>
        <w:tc>
          <w:tcPr>
            <w:tcW w:w="96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7"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15"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产业集中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夯实应急减排措施，①按照重污染天气预警期间限产、停产和错峰生产的管控清单，在保证供暖达标温度的情况下，热电联产的火电企业生产负荷降低20%，具备供热经营许可的供热企业落实红色预警期间的调峰、错峰、适当调整生产负荷等减排措施；其他大气重污染工业企业降低生产负荷。大气污染物排放量减少50%以上； ②除应急抢险外，所有施工工地和建筑工地停止作业； ③城市建成区及以外3公里内，以柴油为燃料非道路工程机械停止使用。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8碳排放控制措施：优化开发区能源结构，积极推进热电联产和集中供热。推进工业绿色升级，推行产品绿色设计，促进工业固体废弃物综合利用，加强工业生产过程中危险废物管理。</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7"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加快开发区内污染集中防治设施建设及升级改造，积极推进开发区集中供热管线建设。</w:t>
            </w:r>
          </w:p>
          <w:p>
            <w:pPr>
              <w:rPr>
                <w:color w:val="auto"/>
                <w:highlight w:val="none"/>
                <w:u w:val="none"/>
              </w:rPr>
            </w:pPr>
            <w:r>
              <w:rPr>
                <w:rFonts w:ascii="Times New Roman" w:hAnsi="Times New Roman" w:eastAsia="仿宋" w:cs="Times New Roman"/>
                <w:color w:val="auto"/>
                <w:kern w:val="0"/>
                <w:szCs w:val="21"/>
                <w:highlight w:val="none"/>
                <w:u w:val="none"/>
              </w:rPr>
              <w:t>按照《重点行业挥发性有机物综合治理方案》要求，大力推动低（无）VOCs原辅材料生产和替代，全面加强无组织排放管控，强化精细化管理，重点企业安装VOCs在线监测设施加强监测监控。</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7"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15"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严格污染场地开发利用和流转审批，按照《污染地块土壤环境管理办法》有关规定开展调查、评估、治理与修复等活动。</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成立开发区应急组织机构，建立环境风险应急防控体系，定期开展应急演练，提高区域环境风险防范能力；按时完成开发开发区应急预案修编。</w:t>
            </w:r>
          </w:p>
          <w:p>
            <w:pPr>
              <w:rPr>
                <w:color w:val="auto"/>
                <w:highlight w:val="none"/>
                <w:u w:val="none"/>
              </w:rPr>
            </w:pPr>
            <w:r>
              <w:rPr>
                <w:rFonts w:ascii="Times New Roman" w:hAnsi="Times New Roman" w:eastAsia="仿宋" w:cs="Times New Roman"/>
                <w:color w:val="auto"/>
                <w:kern w:val="0"/>
                <w:szCs w:val="21"/>
                <w:highlight w:val="none"/>
                <w:u w:val="none"/>
              </w:rPr>
              <w:t>严格管理涉及易导致环境风险的有毒有害和易燃易爆物质的生产、使用、排放、贮运等新建、改扩建项目。</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15"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区内企业应建立完善风险防范体系及风险防范措施，做好与开发区的联动；制定应急预案并及时修编，定期演练，加强对于风险防范措施的维护，保证措施有效、应急物质充足。</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构建有利于水循环的开发区产业体系。将节水及水循环利用作为开发区资源循环化改造的重要内容。鼓励入园企业开展企业间的串联用水，分质用水、一水多用和循环利用，建立开发区企业间循环、集约用水产业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815"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815"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trPr>
        <w:tc>
          <w:tcPr>
            <w:tcW w:w="469" w:type="pct"/>
            <w:vMerge w:val="continue"/>
            <w:shd w:val="clear" w:color="auto" w:fill="auto"/>
            <w:vAlign w:val="center"/>
          </w:tcPr>
          <w:p>
            <w:pPr>
              <w:rPr>
                <w:color w:val="auto"/>
                <w:highlight w:val="none"/>
                <w:u w:val="none"/>
              </w:rPr>
            </w:pPr>
          </w:p>
        </w:tc>
        <w:tc>
          <w:tcPr>
            <w:tcW w:w="487" w:type="pct"/>
            <w:vMerge w:val="continue"/>
            <w:shd w:val="clear" w:color="auto" w:fill="auto"/>
            <w:vAlign w:val="center"/>
          </w:tcPr>
          <w:p>
            <w:pPr>
              <w:rPr>
                <w:color w:val="auto"/>
                <w:highlight w:val="none"/>
                <w:u w:val="none"/>
              </w:rPr>
            </w:pPr>
          </w:p>
        </w:tc>
        <w:tc>
          <w:tcPr>
            <w:tcW w:w="405" w:type="pct"/>
            <w:vMerge w:val="continue"/>
            <w:tcBorders>
              <w:right w:val="single" w:color="auto" w:sz="4" w:space="0"/>
            </w:tcBorders>
            <w:shd w:val="clear" w:color="auto" w:fill="auto"/>
            <w:vAlign w:val="center"/>
          </w:tcPr>
          <w:p>
            <w:pPr>
              <w:rPr>
                <w:color w:val="auto"/>
                <w:highlight w:val="none"/>
                <w:u w:val="none"/>
              </w:rPr>
            </w:pPr>
          </w:p>
        </w:tc>
        <w:tc>
          <w:tcPr>
            <w:tcW w:w="37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81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1禁燃区为长春市市区范围；</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3禁燃区内禁止新建、扩建燃用高污染燃料的锅炉、窑炉等燃烧设施（单台额定功率29MW及以上的集中供热锅炉、热电联产锅炉除外）。</w:t>
            </w:r>
          </w:p>
        </w:tc>
        <w:tc>
          <w:tcPr>
            <w:tcW w:w="96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ZH22010620004</w:t>
            </w:r>
          </w:p>
        </w:tc>
        <w:tc>
          <w:tcPr>
            <w:tcW w:w="48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绿园区城镇开发边界</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98"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发展定位：</w:t>
            </w:r>
            <w:r>
              <w:rPr>
                <w:rFonts w:ascii="Times New Roman" w:hAnsi="Times New Roman" w:eastAsia="仿宋" w:cs="Times New Roman"/>
                <w:bCs/>
                <w:color w:val="auto"/>
                <w:kern w:val="0"/>
                <w:sz w:val="20"/>
                <w:szCs w:val="20"/>
                <w:highlight w:val="none"/>
                <w:u w:val="none"/>
              </w:rPr>
              <w:t>加强公共设施建设，提升城区综合职能，结合西客站建设西部新城，构筑西部城市中心；加强城市公共绿地建设，改善城区景观环境；建设长春西北生态、旅游、休闲带；保护长春西部生态。</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98"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2298"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w:t>
            </w:r>
            <w:r>
              <w:rPr>
                <w:rFonts w:hint="eastAsia" w:ascii="Times New Roman" w:hAnsi="Times New Roman" w:eastAsia="仿宋" w:cs="Times New Roman"/>
                <w:color w:val="auto"/>
                <w:kern w:val="0"/>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kern w:val="0"/>
                <w:sz w:val="20"/>
                <w:szCs w:val="20"/>
                <w:highlight w:val="none"/>
                <w:u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98"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color w:val="auto"/>
                <w:sz w:val="20"/>
                <w:szCs w:val="20"/>
                <w:highlight w:val="none"/>
                <w:u w:val="none"/>
                <w:lang w:eastAsia="zh-CN"/>
              </w:rPr>
              <w:t>《长春市人民政府关于划定高污染燃料禁燃区的通告》</w:t>
            </w:r>
            <w:r>
              <w:rPr>
                <w:rFonts w:ascii="Times New Roman" w:hAnsi="Times New Roman" w:eastAsia="仿宋" w:cs="Times New Roman"/>
                <w:color w:val="auto"/>
                <w:sz w:val="20"/>
                <w:szCs w:val="20"/>
                <w:highlight w:val="none"/>
                <w:u w:val="none"/>
              </w:rPr>
              <w:t>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ZH22010620005</w:t>
            </w:r>
          </w:p>
        </w:tc>
        <w:tc>
          <w:tcPr>
            <w:tcW w:w="48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绿园区大气环境高排放重点管控区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98"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6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大气环境高排放重点管控区、水环境风险重点管控区、水环境农业污染重点管控区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98"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98"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完成吉林省下达的产能置换要求。</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ZH22010620006</w:t>
            </w:r>
          </w:p>
        </w:tc>
        <w:tc>
          <w:tcPr>
            <w:tcW w:w="48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绿园区大气环境布局敏感重点管控区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98"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6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大气环境布局敏感重点管控区、水环境风险重点管控区、水环境农业污染重点管控区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98"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8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98"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bl>
    <w:p>
      <w:pPr>
        <w:jc w:val="left"/>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 w:linePitch="312" w:charSpace="0"/>
        </w:sectPr>
      </w:pPr>
    </w:p>
    <w:p>
      <w:pPr>
        <w:keepNext/>
        <w:keepLines/>
        <w:outlineLvl w:val="1"/>
        <w:rPr>
          <w:rFonts w:ascii="Times New Roman" w:hAnsi="Times New Roman" w:eastAsia="仿宋" w:cs="Times New Roman"/>
          <w:b/>
          <w:bCs/>
          <w:color w:val="auto"/>
          <w:sz w:val="32"/>
          <w:szCs w:val="32"/>
          <w:highlight w:val="none"/>
          <w:u w:val="none"/>
        </w:rPr>
      </w:pPr>
      <w:bookmarkStart w:id="35" w:name="_Toc27572340"/>
      <w:bookmarkStart w:id="36" w:name="_Toc30312"/>
      <w:bookmarkStart w:id="37" w:name="_Toc1213"/>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六</w:t>
      </w:r>
      <w:r>
        <w:rPr>
          <w:rFonts w:ascii="Times New Roman" w:hAnsi="Times New Roman" w:eastAsia="仿宋" w:cs="Times New Roman"/>
          <w:b/>
          <w:bCs/>
          <w:color w:val="auto"/>
          <w:sz w:val="32"/>
          <w:szCs w:val="32"/>
          <w:highlight w:val="none"/>
          <w:u w:val="none"/>
        </w:rPr>
        <w:t>）长春市双阳区</w:t>
      </w:r>
      <w:bookmarkEnd w:id="35"/>
      <w:r>
        <w:rPr>
          <w:rFonts w:ascii="Times New Roman" w:hAnsi="Times New Roman" w:eastAsia="仿宋" w:cs="Times New Roman"/>
          <w:b/>
          <w:bCs/>
          <w:color w:val="auto"/>
          <w:sz w:val="32"/>
          <w:szCs w:val="32"/>
          <w:highlight w:val="none"/>
          <w:u w:val="none"/>
        </w:rPr>
        <w:t>生态环境准入清单</w:t>
      </w:r>
      <w:bookmarkEnd w:id="36"/>
      <w:bookmarkEnd w:id="37"/>
    </w:p>
    <w:p>
      <w:pPr>
        <w:jc w:val="center"/>
        <w:rPr>
          <w:rFonts w:ascii="Times New Roman" w:hAnsi="Times New Roman" w:eastAsia="仿宋" w:cs="Times New Roman"/>
          <w:b/>
          <w:color w:val="auto"/>
          <w:highlight w:val="none"/>
          <w:u w:val="none"/>
        </w:rPr>
      </w:pPr>
      <w:bookmarkStart w:id="38" w:name="_Toc27572341"/>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3-6</w:t>
      </w:r>
      <w:r>
        <w:rPr>
          <w:rFonts w:ascii="Times New Roman" w:hAnsi="Times New Roman" w:eastAsia="仿宋" w:cs="Times New Roman"/>
          <w:b/>
          <w:color w:val="auto"/>
          <w:highlight w:val="none"/>
          <w:u w:val="none"/>
        </w:rPr>
        <w:t>-1长春市双阳区区域特征研判</w:t>
      </w:r>
      <w:bookmarkEnd w:id="38"/>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1.《吉林省主体功能区规划》中的农产品主产区。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 位于吉林省中部，省会长春市东南部，总面积1677.42平方公里。辖4个街道、3个镇、1个乡，总人口39.3万人。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着力打造以绿色食品供应中心、高端产业聚集中心、健康养生旅居中心、美丽乡村示范中心为主的长春城市副中心，加快形成区域竞争新优势，为长春现代化都市圈建设提供重要支撑。</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坚持以奢岭、双营为龙头带动，鹿乡为特色补充，加速资源整合、优势互补、协调发展，加快主导产业集群集聚，推动奢新南北线、中德工业园规划路等基础设施建设，逐步把副中心核心区打造成长双一体发展的重要节点。</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扬尘污染</w:t>
            </w: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吉林九台湿地省级自然保护区、吉林吊水壶国家级森林公园、吉林吊水壶国家级森林公园、吉林八大部－净月潭国家级风景名胜区、长春市石头口门水库饮用水水源保护区、黑土地资源</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（1）控制非煤矿山扬尘污染。</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w:t>
            </w:r>
            <w:r>
              <w:rPr>
                <w:rFonts w:hint="eastAsia" w:ascii="Times New Roman" w:hAnsi="Times New Roman" w:eastAsia="仿宋" w:cs="Times New Roman"/>
                <w:color w:val="auto"/>
                <w:kern w:val="0"/>
                <w:szCs w:val="21"/>
                <w:highlight w:val="none"/>
                <w:u w:val="none"/>
              </w:rPr>
              <w:t>2</w:t>
            </w:r>
            <w:r>
              <w:rPr>
                <w:rFonts w:ascii="Times New Roman" w:hAnsi="Times New Roman" w:eastAsia="仿宋" w:cs="Times New Roman"/>
                <w:color w:val="auto"/>
                <w:kern w:val="0"/>
                <w:szCs w:val="21"/>
                <w:highlight w:val="none"/>
                <w:u w:val="none"/>
              </w:rPr>
              <w:t>）确保人类开发活动不挤占耕地。</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39" w:name="_Toc27572342"/>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3-6</w:t>
      </w:r>
      <w:r>
        <w:rPr>
          <w:rFonts w:ascii="Times New Roman" w:hAnsi="Times New Roman" w:eastAsia="仿宋" w:cs="Times New Roman"/>
          <w:b/>
          <w:color w:val="auto"/>
          <w:highlight w:val="none"/>
          <w:u w:val="none"/>
        </w:rPr>
        <w:t>-2长春市双阳区生态环境准入清单</w:t>
      </w:r>
      <w:bookmarkEnd w:id="39"/>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79"/>
        <w:gridCol w:w="2339"/>
        <w:gridCol w:w="1624"/>
        <w:gridCol w:w="1717"/>
        <w:gridCol w:w="2026"/>
        <w:gridCol w:w="7554"/>
        <w:gridCol w:w="3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53"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384"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65"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23"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ZH22011210001</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吉林九台湿地省级自然保护区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ZH22011210002</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吉林吊水壶国家级森林公园</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2生态保护红线内国家级森林公园执行《国家级自然公园管理办法（试行）》相关要求。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ZH22011210003</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吉林吊水壶国家级森林公园</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2国家级森林公园执行《国家级自然公园管理办法（试行）》相关要求。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ZH22011210004</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长春市石头口门水库饮用水水源保护区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ZH22011210005</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长春市石头口门水库饮用水水源保护区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ZH22011210006</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双阳区黑土地保护区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ZH22011210007</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双阳区莲花山区水源涵养功能生态保护红线</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水源涵养、饮用水水源保护区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ZH22011210008</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双阳区水土保持功能生态保护红线</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ZH22011210009</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双阳区水土保持功能重要区</w:t>
            </w:r>
          </w:p>
        </w:tc>
        <w:tc>
          <w:tcPr>
            <w:tcW w:w="38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ZH22011210010</w:t>
            </w:r>
          </w:p>
        </w:tc>
        <w:tc>
          <w:tcPr>
            <w:tcW w:w="553"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双阳区水土流失敏感区</w:t>
            </w:r>
          </w:p>
        </w:tc>
        <w:tc>
          <w:tcPr>
            <w:tcW w:w="384"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46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ZH22011220001</w:t>
            </w:r>
          </w:p>
        </w:tc>
        <w:tc>
          <w:tcPr>
            <w:tcW w:w="553"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长春双阳经济开发区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79"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8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4涉及与优先保护单元相邻区域，新建、改（扩）建污染型项目应设置缓冲区域；</w:t>
            </w:r>
          </w:p>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5开发区重点发展的产业为汽车制造、家具制造、装备制造、新型材料、印刷包装、医药制造、保健食品加工、鹿产品深加工为主的新型工业；以休闲文旅、健康养老、购物娱乐为主的现代服务业；以现代都市农业为主的休闲农业。</w:t>
            </w:r>
          </w:p>
        </w:tc>
        <w:tc>
          <w:tcPr>
            <w:tcW w:w="923"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“一区”，即一个开发区。“多园” ，即根据产业基础、 未来规划和发展方向， 布局若干个特色产业园区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汽车制造、家具制造、装备制造、新型材料、印刷包装、医药制造、保健食品加工、鹿产品深加工为主的新型工业；以休闲文旅、健康养老、购物娱乐为主的现代服务业；以现代都市农业为主的休闲农业。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园区规划环评、《污染地块土壤环境管理办法（试行）》《工矿用地土壤环境管理办法（试行）》《企业事业单位突发环境事件应急预案备案管理办法（试行）》《吉林省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8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1禁止《产业结构调整指导目录》中的“淘汰类”项目；</w:t>
            </w:r>
          </w:p>
          <w:p>
            <w:pPr>
              <w:widowControl/>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禁止建设新增铅、汞、铬、砷、镉重金属污染排放总量的项目；</w:t>
            </w:r>
          </w:p>
          <w:p>
            <w:pPr>
              <w:widowControl/>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禁止引入不符合开发区产业发展方向“两高”项目；</w:t>
            </w:r>
          </w:p>
          <w:p>
            <w:pPr>
              <w:widowControl/>
              <w:jc w:val="left"/>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widowControl/>
              <w:jc w:val="left"/>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禁止印染、漂染、造纸、制革、进口废旧物资和工业废弃物的处理，及规模小污染大的项目入区。</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86" w:type="pct"/>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kern w:val="0"/>
                <w:szCs w:val="21"/>
                <w:highlight w:val="none"/>
                <w:u w:val="none"/>
              </w:rPr>
              <w:t>1严格限制《产业结构调整指导目录》中的“限制类”项目入区；</w:t>
            </w:r>
            <w:r>
              <w:rPr>
                <w:rFonts w:ascii="Times New Roman" w:hAnsi="Times New Roman" w:eastAsia="仿宋" w:cs="Times New Roman"/>
                <w:color w:val="auto"/>
                <w:kern w:val="0"/>
                <w:szCs w:val="21"/>
                <w:highlight w:val="none"/>
                <w:u w:val="none"/>
              </w:rPr>
              <w:br w:type="textWrapping"/>
            </w: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r>
              <w:rPr>
                <w:rFonts w:ascii="Times New Roman" w:hAnsi="Times New Roman" w:eastAsia="仿宋" w:cs="Times New Roman"/>
                <w:color w:val="auto"/>
                <w:kern w:val="0"/>
                <w:szCs w:val="21"/>
                <w:highlight w:val="none"/>
                <w:u w:val="none"/>
              </w:rPr>
              <w:br w:type="textWrapping"/>
            </w: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开发区内长双铁烟铁路以东区域，严格限制医药类项目建设；</w:t>
            </w:r>
            <w:r>
              <w:rPr>
                <w:rFonts w:ascii="Times New Roman" w:hAnsi="Times New Roman" w:eastAsia="仿宋" w:cs="Times New Roman"/>
                <w:color w:val="auto"/>
                <w:kern w:val="0"/>
                <w:szCs w:val="21"/>
                <w:highlight w:val="none"/>
                <w:u w:val="none"/>
              </w:rPr>
              <w:br w:type="textWrapping"/>
            </w: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开发区内长春烟铁路以西区域，严格限制电解铜、电解铝等高耗能项目建设。</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widowControl/>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78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1.在充分落实环保措施、对周围环境影响可接受的前提下，允许不符合空间布局的现有项目维持现状；对于其他与产业布局不符的项目，对周围环境影响较大时，建议实施搬迁改造或淘汰。</w:t>
            </w:r>
          </w:p>
          <w:p>
            <w:pPr>
              <w:widowControl/>
              <w:jc w:val="left"/>
              <w:rPr>
                <w:color w:val="auto"/>
                <w:highlight w:val="none"/>
                <w:u w:val="none"/>
              </w:rPr>
            </w:pPr>
            <w:r>
              <w:rPr>
                <w:rFonts w:ascii="Times New Roman" w:hAnsi="Times New Roman" w:eastAsia="仿宋" w:cs="Times New Roman"/>
                <w:color w:val="auto"/>
                <w:kern w:val="0"/>
                <w:szCs w:val="21"/>
                <w:highlight w:val="none"/>
                <w:u w:val="none"/>
              </w:rPr>
              <w:t>2.不符合用地规划的企业，禁止改扩建，视企业对区域环境影响程度，必要时进行搬迁。</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79"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8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经深度处理后全部由长春东南热电厂回用；</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3推进热电联产和集中供热，推进煤炭清洁利用；积极推广应用煤炭清洁高效利用和新型节能技术；巩固禁煤成果；加大区域桔杆利用水平；</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产业集中开发区治理和在线监控设施建设，推动挥发性有机物产品源头替代。推进年排放量10吨以上和泄漏点位超过2000个的重点企业建设监测、防控和处理相结合的VOCs治理体系；</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rPr>
                <w:color w:val="auto"/>
                <w:highlight w:val="none"/>
                <w:u w:val="none"/>
              </w:rPr>
            </w:pPr>
          </w:p>
        </w:tc>
        <w:tc>
          <w:tcPr>
            <w:tcW w:w="553" w:type="pct"/>
            <w:vMerge w:val="continue"/>
            <w:shd w:val="clear" w:color="auto" w:fill="auto"/>
            <w:vAlign w:val="center"/>
          </w:tcPr>
          <w:p>
            <w:pPr>
              <w:rPr>
                <w:color w:val="auto"/>
                <w:highlight w:val="none"/>
                <w:u w:val="none"/>
              </w:rPr>
            </w:pPr>
          </w:p>
        </w:tc>
        <w:tc>
          <w:tcPr>
            <w:tcW w:w="384"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86" w:type="pct"/>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2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rPr>
                <w:color w:val="auto"/>
                <w:highlight w:val="none"/>
                <w:u w:val="none"/>
              </w:rPr>
            </w:pPr>
          </w:p>
        </w:tc>
        <w:tc>
          <w:tcPr>
            <w:tcW w:w="553" w:type="pct"/>
            <w:vMerge w:val="continue"/>
            <w:shd w:val="clear" w:color="auto" w:fill="auto"/>
            <w:vAlign w:val="center"/>
          </w:tcPr>
          <w:p>
            <w:pPr>
              <w:rPr>
                <w:color w:val="auto"/>
                <w:highlight w:val="none"/>
                <w:u w:val="none"/>
              </w:rPr>
            </w:pPr>
          </w:p>
        </w:tc>
        <w:tc>
          <w:tcPr>
            <w:tcW w:w="384"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86" w:type="pct"/>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2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79"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w:t>
            </w:r>
          </w:p>
        </w:tc>
        <w:tc>
          <w:tcPr>
            <w:tcW w:w="178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rPr>
                <w:color w:val="auto"/>
                <w:highlight w:val="none"/>
                <w:u w:val="none"/>
              </w:rPr>
            </w:pPr>
          </w:p>
        </w:tc>
        <w:tc>
          <w:tcPr>
            <w:tcW w:w="553" w:type="pct"/>
            <w:vMerge w:val="continue"/>
            <w:shd w:val="clear" w:color="auto" w:fill="auto"/>
            <w:vAlign w:val="center"/>
          </w:tcPr>
          <w:p>
            <w:pPr>
              <w:rPr>
                <w:color w:val="auto"/>
                <w:highlight w:val="none"/>
                <w:u w:val="none"/>
              </w:rPr>
            </w:pPr>
          </w:p>
        </w:tc>
        <w:tc>
          <w:tcPr>
            <w:tcW w:w="384"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园区环境风险防控</w:t>
            </w:r>
          </w:p>
        </w:tc>
        <w:tc>
          <w:tcPr>
            <w:tcW w:w="1786" w:type="pct"/>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4根据各部门的管理职能，加强监督管理，减少环境污染事故发生的隐患。</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5因开发区东部与石头门长春市石头口门水库生活饮用水水源保护区相邻，所以东部着重发展现代农业为主，减少开发程度。</w:t>
            </w:r>
          </w:p>
        </w:tc>
        <w:tc>
          <w:tcPr>
            <w:tcW w:w="92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468" w:type="pct"/>
            <w:vMerge w:val="continue"/>
            <w:shd w:val="clear" w:color="auto" w:fill="auto"/>
            <w:vAlign w:val="center"/>
          </w:tcPr>
          <w:p>
            <w:pPr>
              <w:rPr>
                <w:color w:val="auto"/>
                <w:highlight w:val="none"/>
                <w:u w:val="none"/>
              </w:rPr>
            </w:pPr>
          </w:p>
        </w:tc>
        <w:tc>
          <w:tcPr>
            <w:tcW w:w="553" w:type="pct"/>
            <w:vMerge w:val="continue"/>
            <w:shd w:val="clear" w:color="auto" w:fill="auto"/>
            <w:vAlign w:val="center"/>
          </w:tcPr>
          <w:p>
            <w:pPr>
              <w:rPr>
                <w:color w:val="auto"/>
                <w:highlight w:val="none"/>
                <w:u w:val="none"/>
              </w:rPr>
            </w:pPr>
          </w:p>
        </w:tc>
        <w:tc>
          <w:tcPr>
            <w:tcW w:w="384"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79" w:type="pct"/>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企业环境风险防控</w:t>
            </w:r>
          </w:p>
        </w:tc>
        <w:tc>
          <w:tcPr>
            <w:tcW w:w="1786" w:type="pct"/>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涉有毒有害大气污染物名录的企业应在厂界建设针对有毒有害特征污染物的环境风险预警体系，确保发生事故能够及时响应。</w:t>
            </w:r>
          </w:p>
        </w:tc>
        <w:tc>
          <w:tcPr>
            <w:tcW w:w="92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026" w:type="dxa"/>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w:t>
            </w:r>
          </w:p>
        </w:tc>
        <w:tc>
          <w:tcPr>
            <w:tcW w:w="7554" w:type="dxa"/>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r>
              <w:rPr>
                <w:rFonts w:ascii="Times New Roman" w:hAnsi="Times New Roman" w:eastAsia="仿宋" w:cs="Times New Roman"/>
                <w:color w:val="auto"/>
                <w:kern w:val="0"/>
                <w:szCs w:val="21"/>
                <w:highlight w:val="none"/>
                <w:u w:val="none"/>
              </w:rPr>
              <w:br w:type="textWrapping"/>
            </w: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26" w:type="dxa"/>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554" w:type="dxa"/>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26" w:type="dxa"/>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554" w:type="dxa"/>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3" w:hRule="atLeast"/>
          <w:jc w:val="center"/>
        </w:trPr>
        <w:tc>
          <w:tcPr>
            <w:tcW w:w="468" w:type="pct"/>
            <w:vMerge w:val="continue"/>
            <w:shd w:val="clear" w:color="auto" w:fill="auto"/>
            <w:vAlign w:val="center"/>
          </w:tcPr>
          <w:p>
            <w:pPr>
              <w:jc w:val="left"/>
              <w:rPr>
                <w:color w:val="auto"/>
                <w:highlight w:val="none"/>
                <w:u w:val="none"/>
              </w:rPr>
            </w:pPr>
          </w:p>
        </w:tc>
        <w:tc>
          <w:tcPr>
            <w:tcW w:w="553" w:type="pct"/>
            <w:vMerge w:val="continue"/>
            <w:shd w:val="clear" w:color="auto" w:fill="auto"/>
            <w:vAlign w:val="center"/>
          </w:tcPr>
          <w:p>
            <w:pPr>
              <w:jc w:val="left"/>
              <w:rPr>
                <w:color w:val="auto"/>
                <w:highlight w:val="none"/>
                <w:u w:val="none"/>
              </w:rPr>
            </w:pPr>
          </w:p>
        </w:tc>
        <w:tc>
          <w:tcPr>
            <w:tcW w:w="384"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26" w:type="dxa"/>
            <w:tcBorders>
              <w:left w:val="single" w:color="auto" w:sz="4" w:space="0"/>
              <w:right w:val="single" w:color="auto" w:sz="4" w:space="0"/>
            </w:tcBorders>
            <w:shd w:val="clear" w:color="auto" w:fill="auto"/>
            <w:vAlign w:val="center"/>
          </w:tcPr>
          <w:p>
            <w:pPr>
              <w:widowControl/>
              <w:jc w:val="center"/>
              <w:rPr>
                <w:color w:val="auto"/>
                <w:highlight w:val="none"/>
                <w:u w:val="none"/>
              </w:rPr>
            </w:pPr>
            <w:r>
              <w:rPr>
                <w:rFonts w:ascii="Times New Roman" w:hAnsi="Times New Roman" w:eastAsia="仿宋" w:cs="Times New Roman"/>
                <w:color w:val="auto"/>
                <w:kern w:val="0"/>
                <w:szCs w:val="21"/>
                <w:highlight w:val="none"/>
                <w:u w:val="none"/>
              </w:rPr>
              <w:t>高污染燃料禁烧</w:t>
            </w:r>
          </w:p>
        </w:tc>
        <w:tc>
          <w:tcPr>
            <w:tcW w:w="7554" w:type="dxa"/>
            <w:tcBorders>
              <w:left w:val="single" w:color="auto" w:sz="4" w:space="0"/>
              <w:right w:val="single" w:color="auto" w:sz="4" w:space="0"/>
            </w:tcBorders>
            <w:shd w:val="clear" w:color="auto" w:fill="auto"/>
            <w:vAlign w:val="center"/>
          </w:tcPr>
          <w:p>
            <w:pPr>
              <w:widowControl/>
              <w:jc w:val="left"/>
              <w:rPr>
                <w:color w:val="auto"/>
                <w:highlight w:val="none"/>
                <w:u w:val="none"/>
              </w:rPr>
            </w:pPr>
            <w:r>
              <w:rPr>
                <w:rFonts w:ascii="Times New Roman" w:hAnsi="Times New Roman" w:eastAsia="仿宋" w:cs="Times New Roman"/>
                <w:color w:val="auto"/>
                <w:kern w:val="0"/>
                <w:szCs w:val="21"/>
                <w:highlight w:val="none"/>
                <w:u w:val="none"/>
              </w:rPr>
              <w:t>按照《长春市人民政府办公厅关于印发长春市能源结构调整暨煤炭控制管理工作实施方案的通知》（长府办发〔2017〕40号）要求，长春双阳经济开发区范围内20吨以下小锅炉全部淘汰。开发区内只有长春东南热电厂及长春建筑学院使用煤炭燃料。禁止一切新建燃煤项目。</w:t>
            </w:r>
          </w:p>
        </w:tc>
        <w:tc>
          <w:tcPr>
            <w:tcW w:w="92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jc w:val="center"/>
        </w:trPr>
        <w:tc>
          <w:tcPr>
            <w:tcW w:w="46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ZH22011220002</w:t>
            </w:r>
          </w:p>
        </w:tc>
        <w:tc>
          <w:tcPr>
            <w:tcW w:w="553"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双阳区城镇开发边界</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（梅花鹿养殖除外）。除在安全或者产业布局等方面有特殊要求的项目外，原则上应避免大规模排放大气污染物的项目布局建设。</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23"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bCs/>
                <w:color w:val="auto"/>
                <w:kern w:val="0"/>
                <w:sz w:val="20"/>
                <w:szCs w:val="20"/>
                <w:highlight w:val="none"/>
                <w:u w:val="none"/>
              </w:rPr>
              <w:t>长春生态涵养发展区，东北亚休闲康养目的地</w:t>
            </w:r>
            <w:r>
              <w:rPr>
                <w:rFonts w:ascii="Times New Roman" w:hAnsi="Times New Roman" w:eastAsia="仿宋" w:cs="Times New Roman"/>
                <w:b/>
                <w:bCs/>
                <w:color w:val="auto"/>
                <w:sz w:val="20"/>
                <w:szCs w:val="20"/>
                <w:highlight w:val="none"/>
                <w:u w:val="none"/>
              </w:rPr>
              <w:t xml:space="preserve"> </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6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除在安全或者产业布局等方面有特殊要求的项目外，应严格控制新建、扩建采用高污染燃料的项目和设施。</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6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ZH22011220003</w:t>
            </w:r>
          </w:p>
        </w:tc>
        <w:tc>
          <w:tcPr>
            <w:tcW w:w="55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双阳区大气环境高排放重点管控区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23"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基于“三线”研究成果提出，结合《污染地块土壤环境管理办法（试行）》《吉林省生态环境保护“十四五”规划》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ZH22011220004</w:t>
            </w:r>
          </w:p>
        </w:tc>
        <w:tc>
          <w:tcPr>
            <w:tcW w:w="55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双阳区大气环境布局敏感重点管控区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2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ZH22011220005</w:t>
            </w:r>
          </w:p>
        </w:tc>
        <w:tc>
          <w:tcPr>
            <w:tcW w:w="553"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双阳区大气环境弱扩散重点管控区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5"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2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大气环境弱扩散重点管控区、建设用地污染风险重点管控区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53"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ZH22011220006</w:t>
            </w:r>
          </w:p>
        </w:tc>
        <w:tc>
          <w:tcPr>
            <w:tcW w:w="553"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双阳区水环境农业污染重点管控区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规模化畜禽养殖场（小区）应当保证畜禽粪污无害化处理和资源化利用设施的正常运转。散养密集区要实行畜禽粪便污水分户收集、集中处理利用。</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ZH22011230001</w:t>
            </w:r>
          </w:p>
        </w:tc>
        <w:tc>
          <w:tcPr>
            <w:tcW w:w="553"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双阳区一般管控区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5"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注：吉林九台湿地省级自然保护区面积为2.35平方千米，占比0.16%，各地区部门间联合管控。</w:t>
      </w:r>
    </w:p>
    <w:p>
      <w:pPr>
        <w:jc w:val="both"/>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 w:linePitch="312" w:charSpace="0"/>
        </w:sectPr>
      </w:pPr>
    </w:p>
    <w:p>
      <w:pPr>
        <w:keepNext/>
        <w:keepLines/>
        <w:outlineLvl w:val="1"/>
        <w:rPr>
          <w:rFonts w:ascii="Times New Roman" w:hAnsi="Times New Roman" w:eastAsia="仿宋" w:cs="Times New Roman"/>
          <w:b/>
          <w:bCs/>
          <w:color w:val="auto"/>
          <w:sz w:val="32"/>
          <w:szCs w:val="32"/>
          <w:highlight w:val="none"/>
          <w:u w:val="none"/>
        </w:rPr>
      </w:pPr>
      <w:bookmarkStart w:id="40" w:name="_Toc27572328"/>
      <w:bookmarkStart w:id="41" w:name="_Toc7498"/>
      <w:bookmarkStart w:id="42" w:name="_Toc9649"/>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七</w:t>
      </w:r>
      <w:r>
        <w:rPr>
          <w:rFonts w:ascii="Times New Roman" w:hAnsi="Times New Roman" w:eastAsia="仿宋" w:cs="Times New Roman"/>
          <w:b/>
          <w:bCs/>
          <w:color w:val="auto"/>
          <w:sz w:val="32"/>
          <w:szCs w:val="32"/>
          <w:highlight w:val="none"/>
          <w:u w:val="none"/>
        </w:rPr>
        <w:t>）长春市九台区</w:t>
      </w:r>
      <w:bookmarkEnd w:id="40"/>
      <w:r>
        <w:rPr>
          <w:rFonts w:ascii="Times New Roman" w:hAnsi="Times New Roman" w:eastAsia="仿宋" w:cs="Times New Roman"/>
          <w:b/>
          <w:bCs/>
          <w:color w:val="auto"/>
          <w:sz w:val="32"/>
          <w:szCs w:val="32"/>
          <w:highlight w:val="none"/>
          <w:u w:val="none"/>
        </w:rPr>
        <w:t>生态环境准入清单</w:t>
      </w:r>
      <w:bookmarkEnd w:id="41"/>
      <w:bookmarkEnd w:id="42"/>
    </w:p>
    <w:p>
      <w:pPr>
        <w:jc w:val="center"/>
        <w:rPr>
          <w:rFonts w:ascii="Times New Roman" w:hAnsi="Times New Roman" w:eastAsia="仿宋" w:cs="Times New Roman"/>
          <w:b/>
          <w:color w:val="auto"/>
          <w:highlight w:val="none"/>
          <w:u w:val="none"/>
        </w:rPr>
      </w:pPr>
      <w:bookmarkStart w:id="43" w:name="_Toc27572329"/>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3-7</w:t>
      </w:r>
      <w:r>
        <w:rPr>
          <w:rFonts w:ascii="Times New Roman" w:hAnsi="Times New Roman" w:eastAsia="仿宋" w:cs="Times New Roman"/>
          <w:b/>
          <w:color w:val="auto"/>
          <w:highlight w:val="none"/>
          <w:u w:val="none"/>
        </w:rPr>
        <w:t>-1长春市九台区区域特征研判</w:t>
      </w:r>
      <w:bookmarkEnd w:id="43"/>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《吉林省主体功能区规划》中的农产品主产区。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位于吉林省中部，伊通河上游，省会长春市东北部，是长春市东大门，总面积3375.27平方公里。辖11个街道、4个镇和2个民族乡。</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将九台打造成为“一带一路”对外开放的功能区、哈长城市群长吉发展带的核心区、长春新区服务业的保障区、东北亚精优农产品的供给区、创新转型发展的示范区，全面提升九台核心竞争力。</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着力打造长春市副中心城市，提升行政、商务、金融、信息等综合服务功能，大力发展商贸服务产业，积极培育高端商务、现代物流产业、现代通信产业、房地产和互联网产业，提高城市的产业支撑能力。发挥农村金融改革试验区的先行先试优势，把九台城区打造成中国北方农村金融中心。</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重点发展煤炭、建材和食品加工业，推进循环经济发展，打造接续产业、能源产业等特色产业园区。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畜禽养殖污染</w:t>
            </w:r>
            <w:r>
              <w:rPr>
                <w:rFonts w:hint="eastAsia" w:ascii="Times New Roman" w:hAnsi="Times New Roman" w:eastAsia="仿宋" w:cs="Times New Roman"/>
                <w:color w:val="auto"/>
                <w:kern w:val="0"/>
                <w:szCs w:val="21"/>
                <w:highlight w:val="none"/>
                <w:u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国家级公益林、吉林九台湿地省级自然保护区、长春市石头口门水库生活饮用水水源地、沐石河水功能区一级区保护区、黑土地资源</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（1）确保人类开发活动不挤占耕地。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（2）治理畜禽养殖业。</w:t>
            </w:r>
            <w:r>
              <w:rPr>
                <w:rFonts w:hint="eastAsia" w:ascii="Times New Roman" w:hAnsi="Times New Roman" w:eastAsia="仿宋" w:cs="Times New Roman"/>
                <w:color w:val="auto"/>
                <w:kern w:val="0"/>
                <w:szCs w:val="21"/>
                <w:highlight w:val="none"/>
                <w:u w:val="none"/>
              </w:rPr>
              <w:t>/</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44" w:name="_Toc27572330"/>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3-7</w:t>
      </w:r>
      <w:r>
        <w:rPr>
          <w:rFonts w:ascii="Times New Roman" w:hAnsi="Times New Roman" w:eastAsia="仿宋" w:cs="Times New Roman"/>
          <w:b/>
          <w:color w:val="auto"/>
          <w:highlight w:val="none"/>
          <w:u w:val="none"/>
        </w:rPr>
        <w:t>-2长春市九台区生态环境准入清单</w:t>
      </w:r>
      <w:bookmarkEnd w:id="44"/>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29"/>
        <w:gridCol w:w="2157"/>
        <w:gridCol w:w="1671"/>
        <w:gridCol w:w="1861"/>
        <w:gridCol w:w="2098"/>
        <w:gridCol w:w="7462"/>
        <w:gridCol w:w="39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10"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395"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4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60"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37"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ZH22011310001</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吉林九台湿地省级自然保护区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自然保护区、饮用水源地保护区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ZH22011310002</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长春市石头口门水库饮用水水源保护区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ZH22011310003</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长春市石头口门水库饮用水水源保护区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饮用水源地保护区、黑土地保护区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ZH22011310004</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九台区国家级公益林</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2国家级公益林执行</w:t>
            </w:r>
            <w:r>
              <w:rPr>
                <w:rFonts w:hint="eastAsia" w:ascii="Times New Roman" w:hAnsi="Times New Roman" w:eastAsia="仿宋" w:cs="Times New Roman"/>
                <w:color w:val="auto"/>
                <w:sz w:val="20"/>
                <w:szCs w:val="20"/>
                <w:highlight w:val="none"/>
                <w:u w:val="none"/>
              </w:rPr>
              <w:t>《国家级公益林管理办法》（2017年修订）</w:t>
            </w:r>
            <w:r>
              <w:rPr>
                <w:rFonts w:ascii="Times New Roman" w:hAnsi="Times New Roman" w:eastAsia="仿宋" w:cs="Times New Roman"/>
                <w:color w:val="auto"/>
                <w:sz w:val="20"/>
                <w:szCs w:val="20"/>
                <w:highlight w:val="none"/>
                <w:u w:val="none"/>
              </w:rPr>
              <w:t>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ZH22011310005</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沐石河水功能区一级区保护区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1江河源头区域执行《水功能区监督管理办法》相关要求。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2黑土地保护区执行《中华人民共和国黑土地保护法》《吉林省黑土地保护条例》相关要求。大力推广秸秆深翻还田、增施有机肥和机械深松等技术，有效利用畜禽粪便资源。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水环境优先保护区、农用地优先保护区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ZH22011310006</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九台区黑土地保护区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ZH22011310007</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九台区防风固沙功能重要区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5江河源头区域执行《水功能区监督管理办法》相关要求。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6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防风固沙、江河源头区域、黑土地保护区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ZH22011310008</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九台区中部台地水土保持功能生态保护红线</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ZH22011310009</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九台区松嫩平原水土保持功能生态保护红线</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8"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ZH22011320001</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中韩（长春）国际合作示范区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098"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4项目选址应尽量避让基本农田，国家重大交通、能源、水利、军事设施等重点建设项目选址确实无法避让永久基本农田的，需按程序报批；</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5开发区重点发展的主要产业为高端装备和智能制造、信息技术、医药、健康食品、特色服务、氢能产业、新能源电池、秸秆产业</w:t>
            </w:r>
            <w:r>
              <w:rPr>
                <w:rFonts w:hint="eastAsia" w:ascii="Times New Roman" w:hAnsi="Times New Roman" w:eastAsia="仿宋" w:cs="Times New Roman"/>
                <w:color w:val="auto"/>
                <w:kern w:val="0"/>
                <w:szCs w:val="21"/>
                <w:highlight w:val="none"/>
                <w:u w:val="none"/>
              </w:rPr>
              <w:t>、永磁、新型材料。</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高端装备和智能制造、信息技术、医药、健康食品、特色服务、氢能产业、新能源电池、秸秆产业</w:t>
            </w:r>
          </w:p>
          <w:p>
            <w:pPr>
              <w:widowControl/>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8"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8"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8"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1在充分落实环保措施、对周围环境影响可接受的前提下，允许不符合空间布局的现有项目维持现状；对于其他与产业布局不符的项目，建议进行转产、转型，发展绿色产业，或进行异地搬迁。</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098"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2示范区按照串联用水，分质用水、一水多用和循环利用的原则，提高水资源利用率，建设节水型示范区；加快污水收集管网建设，示范区污废水基本实现全收集、全处理；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示范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7462"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根据《长春市人民政府办公厅关于印发长春市空气、水环境、土壤环境质量巩固提升三个行动方案的通知》（长府办发〔2021〕14号），推动单台容量25兆瓦（35蒸吨/小时）及以上燃煤供热锅炉实施超低排放改造。按照最新的政策要求，逐步开展燃煤锅炉淘汰工作。</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6"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7462"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098"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1示范区管委会协助落实土壤污染重点监管企业污染隐患排查、自行监测、拆除生产设备污染防治方案备案等制度；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1成立示范区应急组织机构，建立环境风险应急防控体系，定期开展应急演练，提高区域环境风险防范能力，按时完成示范区应急预案修编。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示范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3健全示范区环境风险防控工程。建立企业、示范区和周边水系环境风险防控体系，建设完善的环境风险防控设施，建设能够有效防止泄漏物以及消防废水等进入示范区外环境的拦截措施。</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企业环境风险</w:t>
            </w:r>
          </w:p>
          <w:p>
            <w:pPr>
              <w:jc w:val="center"/>
              <w:rPr>
                <w:color w:val="auto"/>
                <w:highlight w:val="none"/>
                <w:u w:val="none"/>
              </w:rPr>
            </w:pPr>
            <w:r>
              <w:rPr>
                <w:rFonts w:ascii="Times New Roman" w:hAnsi="Times New Roman" w:eastAsia="仿宋" w:cs="Times New Roman"/>
                <w:color w:val="auto"/>
                <w:kern w:val="0"/>
                <w:szCs w:val="21"/>
                <w:highlight w:val="none"/>
                <w:u w:val="none"/>
              </w:rPr>
              <w:t>防控要求</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098"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7462"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w:t>
            </w:r>
            <w:r>
              <w:rPr>
                <w:rFonts w:hint="eastAsia" w:ascii="Times New Roman" w:eastAsia="仿宋"/>
                <w:color w:val="auto"/>
                <w:kern w:val="0"/>
                <w:szCs w:val="21"/>
                <w:highlight w:val="none"/>
                <w:u w:val="none"/>
              </w:rPr>
              <w:t>用水量、水资源利用效率等指标完成上级部门下达的任务要求。</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462"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462"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98"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462"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示范区不涉及禁燃区。</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ZH22011320002</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长春空港经济开发区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9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widowControl/>
              <w:adjustRightInd w:val="0"/>
              <w:snapToGrid w:val="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4开发区主要产业为航空物流业、冰雪体育装备制造业、光电信息产业——集成电路、环保装备制造、现代服务业、生物医药等。</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集空港配套仓储物流、现代服务业、生态居住、体验式主题购物、康体养生与休闲旅游为一体的长吉一体化区域中的空港新城</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航空物流业、冰雪体育装备制造业、光电信息产业——集成电路、环保装备制造、现代服务业、生物医药。</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园区规划环评、结合《企业事业单位突发环境事件应急预案备案管理办法（试行）》《中共吉林省委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1禁止污染严重的工业类项目入区；</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2禁止不符合开发区产业发展方向，能耗、物耗较大，污染较重的项目，尤其是对大气及水环境污染严重的项目，或是耗水量较大的项目；</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3严格按照长春龙嘉国家机场净空区相关要求，禁止在净空范围内建设超高建筑物；</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4在净空保护区域内禁止从事下列活动：</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①修建可能在空中排放大量烟雾、粉尘、火焰、废气而影响飞行安全的建筑物或者设施；</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②修建靶场、强烈爆炸物仓库等影响飞行安全的建筑物或者设施；</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③修建不符合机场净空要求的建筑物或者设施；</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④设置影响机场目视助航设施使用的灯光、标志或者物体；</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⑤种植影响飞行安全或者影响机场助航设施使用的植物；</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⑥饲养、放飞影响飞行安全的鸟类动物；</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⑦修建影响机场电磁环境的建筑物或者设施。</w:t>
            </w:r>
          </w:p>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5禁止《产业结构调整指导目录》中的“淘汰类”项目。</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1严格限制存放有毒有害物质的仓储物流项目入区；</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2严格限制不符合开发区产业发展方向以及能耗、物耗高、污染严重的项目入区，加大环保宣传力度，对已入区企业提出环保要求，确保区内污染物达标排放，实现开发区健康可持续发展；</w:t>
            </w:r>
          </w:p>
          <w:p>
            <w:pPr>
              <w:widowControl/>
              <w:adjustRightInd w:val="0"/>
              <w:snapToGrid w:val="0"/>
              <w:jc w:val="left"/>
              <w:rPr>
                <w:rFonts w:hint="eastAsia" w:eastAsia="仿宋"/>
                <w:color w:val="auto"/>
                <w:highlight w:val="none"/>
                <w:u w:val="none"/>
                <w:lang w:eastAsia="zh-CN"/>
              </w:rPr>
            </w:pPr>
            <w:r>
              <w:rPr>
                <w:rFonts w:ascii="Times New Roman" w:hAnsi="Times New Roman" w:eastAsia="仿宋" w:cs="Times New Roman"/>
                <w:color w:val="auto"/>
                <w:kern w:val="0"/>
                <w:szCs w:val="21"/>
                <w:highlight w:val="none"/>
                <w:u w:val="none"/>
              </w:rPr>
              <w:t>3严格限制《产业结构调整指导目录》中的“限制类”项目入区</w:t>
            </w:r>
            <w:r>
              <w:rPr>
                <w:rFonts w:hint="eastAsia" w:ascii="Times New Roman" w:hAnsi="Times New Roman" w:eastAsia="仿宋" w:cs="Times New Roman"/>
                <w:color w:val="auto"/>
                <w:kern w:val="0"/>
                <w:szCs w:val="21"/>
                <w:highlight w:val="none"/>
                <w:u w:val="none"/>
                <w:lang w:eastAsia="zh-CN"/>
              </w:rPr>
              <w:t>。</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1在充分落实环保措施、对周围环境影响可接受的前提下，允许不符合空间布局的现有项目进行改扩建工程；</w:t>
            </w:r>
          </w:p>
          <w:p>
            <w:pPr>
              <w:widowControl/>
              <w:adjustRightInd w:val="0"/>
              <w:snapToGrid w:val="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3现有不符合开发区产业发展方向和环境保护要求的企业应逐步升级改造或搬迁、淘汰；尽快制定拆除搬迁方案，明确搬迁时限。</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9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9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widowControl/>
              <w:adjustRightInd w:val="0"/>
              <w:snapToGrid w:val="0"/>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adjustRightInd w:val="0"/>
              <w:snapToGrid w:val="0"/>
              <w:jc w:val="left"/>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21"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96" w:type="pc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widowControl/>
              <w:adjustRightInd w:val="0"/>
              <w:snapToGrid w:val="0"/>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64" w:type="pct"/>
            <w:tcBorders>
              <w:left w:val="single" w:color="auto" w:sz="4" w:space="0"/>
              <w:right w:val="single" w:color="auto" w:sz="4" w:space="0"/>
            </w:tcBorders>
            <w:shd w:val="clear" w:color="auto" w:fill="auto"/>
            <w:vAlign w:val="center"/>
          </w:tcPr>
          <w:p>
            <w:pPr>
              <w:widowControl/>
              <w:adjustRightInd w:val="0"/>
              <w:snapToGrid w:val="0"/>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adjustRightInd w:val="0"/>
              <w:snapToGrid w:val="0"/>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64"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kern w:val="0"/>
                <w:szCs w:val="21"/>
                <w:highlight w:val="none"/>
                <w:u w:val="none"/>
              </w:rPr>
              <w:t>本区域不涉及禁燃区。</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ZH22011320003</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长春九台经济开发区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4长春九台经济开发区重点发展现代装备制造产业、食品加工产业、医药健康产业、新兴建材、新材料、新能源、循环产业、综合物流、现代农业等；</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5允许建设园区配套基础设施（固废处置）项目，发展金属表面处理及热处理加工业、循环经济产业（汽车拆解）。</w:t>
            </w:r>
          </w:p>
        </w:tc>
        <w:tc>
          <w:tcPr>
            <w:tcW w:w="937"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w:t>
            </w:r>
          </w:p>
          <w:p>
            <w:pPr>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将建成为一个集居住、工业、生态景观区为一体的生态新城，将大大的促进区域经济发展，对加快长东北区域开发建设、加速长吉图经济带发展，都将起到积极的促进作用。</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现代装备制造产业、食品加工产业、医药健康产业、新兴建材、新材料、新能源等</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jc w:val="center"/>
        </w:trPr>
        <w:tc>
          <w:tcPr>
            <w:tcW w:w="456" w:type="pct"/>
            <w:vMerge w:val="continue"/>
            <w:shd w:val="clear" w:color="auto" w:fill="auto"/>
            <w:vAlign w:val="center"/>
          </w:tcPr>
          <w:p>
            <w:pPr>
              <w:autoSpaceDE w:val="0"/>
              <w:autoSpaceDN w:val="0"/>
              <w:adjustRightInd w:val="0"/>
              <w:jc w:val="left"/>
              <w:rPr>
                <w:color w:val="auto"/>
                <w:highlight w:val="none"/>
                <w:u w:val="none"/>
              </w:rPr>
            </w:pPr>
          </w:p>
        </w:tc>
        <w:tc>
          <w:tcPr>
            <w:tcW w:w="510" w:type="pct"/>
            <w:vMerge w:val="continue"/>
            <w:shd w:val="clear" w:color="auto" w:fill="auto"/>
            <w:vAlign w:val="center"/>
          </w:tcPr>
          <w:p>
            <w:pPr>
              <w:autoSpaceDE w:val="0"/>
              <w:autoSpaceDN w:val="0"/>
              <w:adjustRightInd w:val="0"/>
              <w:jc w:val="left"/>
              <w:rPr>
                <w:color w:val="auto"/>
                <w:highlight w:val="none"/>
                <w:u w:val="none"/>
              </w:rPr>
            </w:pPr>
          </w:p>
        </w:tc>
        <w:tc>
          <w:tcPr>
            <w:tcW w:w="395"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1禁止《产业结构调整指导目录》中的“淘汰类”项目入区；</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禁止不符合开发区总体规划或产业规划项目入区；</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禁止引进采用落后的生产工艺或生产设备，高水耗、高物耗、高能耗项目；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禁止纺织、印染、商混等行业项目入区；</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禁止开发区规划环评“环境准入负面清单”禁止引入的项目；</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37"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jc w:val="center"/>
        </w:trPr>
        <w:tc>
          <w:tcPr>
            <w:tcW w:w="456" w:type="pct"/>
            <w:vMerge w:val="continue"/>
            <w:shd w:val="clear" w:color="auto" w:fill="auto"/>
            <w:vAlign w:val="center"/>
          </w:tcPr>
          <w:p>
            <w:pPr>
              <w:autoSpaceDE w:val="0"/>
              <w:autoSpaceDN w:val="0"/>
              <w:adjustRightInd w:val="0"/>
              <w:jc w:val="left"/>
              <w:rPr>
                <w:color w:val="auto"/>
                <w:highlight w:val="none"/>
                <w:u w:val="none"/>
              </w:rPr>
            </w:pPr>
          </w:p>
        </w:tc>
        <w:tc>
          <w:tcPr>
            <w:tcW w:w="510" w:type="pct"/>
            <w:vMerge w:val="continue"/>
            <w:shd w:val="clear" w:color="auto" w:fill="auto"/>
            <w:vAlign w:val="center"/>
          </w:tcPr>
          <w:p>
            <w:pPr>
              <w:autoSpaceDE w:val="0"/>
              <w:autoSpaceDN w:val="0"/>
              <w:adjustRightInd w:val="0"/>
              <w:jc w:val="left"/>
              <w:rPr>
                <w:color w:val="auto"/>
                <w:highlight w:val="none"/>
                <w:u w:val="none"/>
              </w:rPr>
            </w:pPr>
          </w:p>
        </w:tc>
        <w:tc>
          <w:tcPr>
            <w:tcW w:w="395"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1严格限制《产业结构调整指导目录》中的“限制类”项目入区；</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严格限制开发区规划环评“环境准入负面清单”限制引入的项目。</w:t>
            </w:r>
          </w:p>
        </w:tc>
        <w:tc>
          <w:tcPr>
            <w:tcW w:w="937"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jc w:val="center"/>
        </w:trPr>
        <w:tc>
          <w:tcPr>
            <w:tcW w:w="456" w:type="pct"/>
            <w:vMerge w:val="continue"/>
            <w:shd w:val="clear" w:color="auto" w:fill="auto"/>
            <w:vAlign w:val="center"/>
          </w:tcPr>
          <w:p>
            <w:pPr>
              <w:autoSpaceDE w:val="0"/>
              <w:autoSpaceDN w:val="0"/>
              <w:adjustRightInd w:val="0"/>
              <w:jc w:val="left"/>
              <w:rPr>
                <w:color w:val="auto"/>
                <w:highlight w:val="none"/>
                <w:u w:val="none"/>
              </w:rPr>
            </w:pPr>
          </w:p>
        </w:tc>
        <w:tc>
          <w:tcPr>
            <w:tcW w:w="510" w:type="pct"/>
            <w:vMerge w:val="continue"/>
            <w:shd w:val="clear" w:color="auto" w:fill="auto"/>
            <w:vAlign w:val="center"/>
          </w:tcPr>
          <w:p>
            <w:pPr>
              <w:autoSpaceDE w:val="0"/>
              <w:autoSpaceDN w:val="0"/>
              <w:adjustRightInd w:val="0"/>
              <w:jc w:val="left"/>
              <w:rPr>
                <w:color w:val="auto"/>
                <w:highlight w:val="none"/>
                <w:u w:val="none"/>
              </w:rPr>
            </w:pPr>
          </w:p>
        </w:tc>
        <w:tc>
          <w:tcPr>
            <w:tcW w:w="395" w:type="pct"/>
            <w:vMerge w:val="continue"/>
            <w:tcBorders>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autoSpaceDE w:val="0"/>
              <w:autoSpaceDN w:val="0"/>
              <w:adjustRightInd w:val="0"/>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37" w:type="pct"/>
            <w:vMerge w:val="continue"/>
            <w:tcBorders>
              <w:left w:val="single" w:color="auto" w:sz="4" w:space="0"/>
              <w:right w:val="single" w:color="auto" w:sz="4" w:space="0"/>
            </w:tcBorders>
            <w:vAlign w:val="center"/>
          </w:tcPr>
          <w:p>
            <w:pPr>
              <w:autoSpaceDE w:val="0"/>
              <w:autoSpaceDN w:val="0"/>
              <w:adjustRightInd w:val="0"/>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鼓励区内企业进行节水型工艺改造，提高水的重复利用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1推动单台容量25兆瓦（35蒸吨/小时）及以上燃煤供热锅炉实施超低排放改造。按照国家、省政策的调整和要求，逐步开展燃煤锅炉淘汰工作。</w:t>
            </w:r>
          </w:p>
          <w:p>
            <w:pPr>
              <w:rPr>
                <w:color w:val="auto"/>
                <w:highlight w:val="none"/>
                <w:u w:val="none"/>
              </w:rPr>
            </w:pPr>
            <w:r>
              <w:rPr>
                <w:rFonts w:ascii="Times New Roman" w:hAnsi="Times New Roman" w:eastAsia="仿宋" w:cs="Times New Roman"/>
                <w:color w:val="auto"/>
                <w:kern w:val="0"/>
                <w:szCs w:val="21"/>
                <w:highlight w:val="none"/>
                <w:u w:val="none"/>
              </w:rPr>
              <w:t>2加大工业污染源烟气高效脱硫脱硝、除尘改造力度,确保各项污染物稳定达标排放，推进重点行业深度治理，深化重点行业挥发性有机物(VOCs)治理。</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96" w:type="pct"/>
            <w:vMerge w:val="restar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长春九台经济开发区</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水耗指标满足行业清洁生产评价指标体系要求；</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九台工业集中区</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水耗指标满足行业清洁生产评价指标体系要求；</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37" w:type="pct"/>
            <w:vMerge w:val="continue"/>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该区域不涉及禁燃区。县级以上城市建成区原则上不再新建单台容量29兆瓦(40蒸吨/小时) 以下燃煤锅炉，其他区域原则上不再新建单台容量14兆瓦(20蒸吨/小时)以下的燃煤锅炉。按照国家、省政策的调整和要求，逐步开展燃煤锅炉淘汰工作。</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ZH22011320004</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长春北湖科技开发区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重点发展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tc>
        <w:tc>
          <w:tcPr>
            <w:tcW w:w="937" w:type="pct"/>
            <w:vMerge w:val="restart"/>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积极培养先进装备制造、生物与医药、光电子、新材料新能源、精优食品加工和现代服务业，精心打造战略性新兴产业集聚地，建设成为全省创新驱动现行区和生态绿色示范区。</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主导产业：</w:t>
            </w:r>
            <w:r>
              <w:rPr>
                <w:rFonts w:ascii="Times New Roman" w:hAnsi="Times New Roman" w:eastAsia="仿宋" w:cs="Times New Roman"/>
                <w:color w:val="auto"/>
                <w:sz w:val="20"/>
                <w:szCs w:val="20"/>
                <w:highlight w:val="none"/>
                <w:u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园区规划环评、结合《污染地块土壤环境管理办法（试行）》《土壤污染防治行动计划》《工矿用地土壤环境管理办法（试行）》《企业事业单位突发环境事件应急预案备案管理办法（试行）》《吉林省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禁止引入的项目：①禁止冶金、造纸、制革、农药制造、金属冶炼等对大气及水环境污染严重的项目；②C1351牲畜屠宰、C1352禽类屠宰不得进入该区域。</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2" w:hRule="atLeast"/>
          <w:jc w:val="center"/>
        </w:trPr>
        <w:tc>
          <w:tcPr>
            <w:tcW w:w="456" w:type="pct"/>
            <w:vMerge w:val="continue"/>
            <w:shd w:val="clear" w:color="auto" w:fill="auto"/>
            <w:vAlign w:val="center"/>
          </w:tcPr>
          <w:p>
            <w:pPr>
              <w:jc w:val="left"/>
              <w:rPr>
                <w:color w:val="auto"/>
                <w:highlight w:val="none"/>
                <w:u w:val="none"/>
              </w:rPr>
            </w:pPr>
          </w:p>
        </w:tc>
        <w:tc>
          <w:tcPr>
            <w:tcW w:w="510" w:type="pct"/>
            <w:vMerge w:val="continue"/>
            <w:shd w:val="clear" w:color="auto" w:fill="auto"/>
            <w:vAlign w:val="center"/>
          </w:tcPr>
          <w:p>
            <w:pPr>
              <w:jc w:val="left"/>
              <w:rPr>
                <w:color w:val="auto"/>
                <w:highlight w:val="none"/>
                <w:u w:val="none"/>
              </w:rPr>
            </w:pPr>
          </w:p>
        </w:tc>
        <w:tc>
          <w:tcPr>
            <w:tcW w:w="395" w:type="pct"/>
            <w:vMerge w:val="continue"/>
            <w:tcBorders>
              <w:right w:val="single" w:color="auto" w:sz="4" w:space="0"/>
            </w:tcBorders>
            <w:shd w:val="clear" w:color="auto" w:fill="auto"/>
            <w:vAlign w:val="center"/>
          </w:tcPr>
          <w:p>
            <w:pPr>
              <w:jc w:val="left"/>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37"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9根据《中共吉林省委 吉林省人民政府 关于完整准确全面贯彻新发展理念做好碳达峰碳中和工作的实施意见》（2021年11月30日），优化产业结构，推进工业领域绿色化改造，推广应用绿色低碳技术、工艺和装备。强化能耗和二氧化碳排放双控制度。坚持节能优先，严格控制能耗和二氧化碳排放强度，合理控制能源消费总量，探索推进二氧化碳排放总量控制。加强产业布局、结构调整、节能审查与能耗双控的衔接，强化节能监察和执法，开展能耗及二氧化碳排放控制目标分析预警，严格落实目标责任。加强甲烷等非二氧化碳温室气体管控。</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1"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1"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1" w:hRule="atLeast"/>
          <w:jc w:val="center"/>
        </w:trPr>
        <w:tc>
          <w:tcPr>
            <w:tcW w:w="456" w:type="pct"/>
            <w:vMerge w:val="continue"/>
            <w:shd w:val="clear" w:color="auto" w:fill="auto"/>
            <w:vAlign w:val="center"/>
          </w:tcPr>
          <w:p>
            <w:pPr>
              <w:widowControl/>
              <w:rPr>
                <w:color w:val="auto"/>
                <w:highlight w:val="none"/>
                <w:u w:val="none"/>
              </w:rPr>
            </w:pPr>
          </w:p>
        </w:tc>
        <w:tc>
          <w:tcPr>
            <w:tcW w:w="510" w:type="pct"/>
            <w:vMerge w:val="continue"/>
            <w:shd w:val="clear" w:color="auto" w:fill="auto"/>
            <w:vAlign w:val="center"/>
          </w:tcPr>
          <w:p>
            <w:pPr>
              <w:widowControl/>
              <w:rPr>
                <w:color w:val="auto"/>
                <w:highlight w:val="none"/>
                <w:u w:val="none"/>
              </w:rPr>
            </w:pPr>
          </w:p>
        </w:tc>
        <w:tc>
          <w:tcPr>
            <w:tcW w:w="395" w:type="pct"/>
            <w:vMerge w:val="continue"/>
            <w:tcBorders>
              <w:right w:val="single" w:color="auto" w:sz="4" w:space="0"/>
            </w:tcBorders>
            <w:shd w:val="clear" w:color="auto" w:fill="auto"/>
            <w:vAlign w:val="center"/>
          </w:tcPr>
          <w:p>
            <w:pPr>
              <w:widowControl/>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37"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6"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440"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49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64"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6" w:type="pct"/>
            <w:vMerge w:val="continue"/>
            <w:shd w:val="clear" w:color="auto" w:fill="auto"/>
            <w:vAlign w:val="center"/>
          </w:tcPr>
          <w:p>
            <w:pPr>
              <w:rPr>
                <w:color w:val="auto"/>
                <w:highlight w:val="none"/>
                <w:u w:val="none"/>
              </w:rPr>
            </w:pPr>
          </w:p>
        </w:tc>
        <w:tc>
          <w:tcPr>
            <w:tcW w:w="510" w:type="pct"/>
            <w:vMerge w:val="continue"/>
            <w:shd w:val="clear" w:color="auto" w:fill="auto"/>
            <w:vAlign w:val="center"/>
          </w:tcPr>
          <w:p>
            <w:pPr>
              <w:rPr>
                <w:color w:val="auto"/>
                <w:highlight w:val="none"/>
                <w:u w:val="none"/>
              </w:rPr>
            </w:pPr>
          </w:p>
        </w:tc>
        <w:tc>
          <w:tcPr>
            <w:tcW w:w="395" w:type="pct"/>
            <w:vMerge w:val="continue"/>
            <w:tcBorders>
              <w:right w:val="single" w:color="auto" w:sz="4" w:space="0"/>
            </w:tcBorders>
            <w:shd w:val="clear" w:color="auto" w:fill="auto"/>
            <w:vAlign w:val="center"/>
          </w:tcPr>
          <w:p>
            <w:pPr>
              <w:rPr>
                <w:color w:val="auto"/>
                <w:highlight w:val="none"/>
                <w:u w:val="none"/>
              </w:rPr>
            </w:pPr>
          </w:p>
        </w:tc>
        <w:tc>
          <w:tcPr>
            <w:tcW w:w="440"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96"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6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37"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ZH22011320005</w:t>
            </w:r>
          </w:p>
        </w:tc>
        <w:tc>
          <w:tcPr>
            <w:tcW w:w="510"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九台区城镇开发边界</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color w:val="auto"/>
                <w:sz w:val="20"/>
                <w:szCs w:val="20"/>
                <w:highlight w:val="none"/>
                <w:u w:val="none"/>
              </w:rPr>
              <w:t>大力发展装备制造、农副产品加工产业和旅游休闲产业；改善人居环境，加强基础设施配套，提升城区综合发展能力。</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《关于开展畜禽养殖禁养区划定工作的通知》《畜禽规模养殖污染防治条例》《污染地块土壤环境管理办法（试行）》《工矿用地土壤环境管理办法（试行）》《中共吉林省委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0"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60" w:type="pct"/>
            <w:gridSpan w:val="2"/>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除在安全或者产业布局等方面有特殊要求的项目外，应严格控制新建、扩建采用高污染燃料的项目和设施。</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ZH22011320006</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九台区大气环境高排放重点管控区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0"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大气环境高排放重点管控区、建设用地污染风险重点管控区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基于“三线”研究成果提出，结合《中共吉林省委 吉林省人民政府关于深入打好污染防治攻坚战的实施意见》《吉林省减污降碳协同增效实施方案》《吉林省 “十四五”节能减排综合实施方案》《吉林省生态环境保护“十四五”规划》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ZH22011320007</w:t>
            </w:r>
          </w:p>
        </w:tc>
        <w:tc>
          <w:tcPr>
            <w:tcW w:w="51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九台区大气环境弱扩散重点管控区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大气环境弱扩散重点管控区、水环境农业污染重点管控区、建设用地污染风险重点管控区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1深入推进秸秆禁烧管控，实行秸秆全域禁烧。加快淘汰老旧车辆；强化道路扬尘控制。</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2实施化肥农药减量增效行动和农膜回收行动；采取积极措施，推进养殖业大气氨减排。</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3规模化畜禽养殖场（小区）应当保证畜禽粪污无害化处理和资源化利用设施的正常运转。散养密集区要实行畜禽粪便污水分户收集、集中处理利用。</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1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ZH22011320008</w:t>
            </w:r>
          </w:p>
        </w:tc>
        <w:tc>
          <w:tcPr>
            <w:tcW w:w="51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吉林桦皮厂地热重点矿区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2-重点管控</w:t>
            </w: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0"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吉林桦皮厂地热重点矿区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ZH22011330001</w:t>
            </w:r>
          </w:p>
        </w:tc>
        <w:tc>
          <w:tcPr>
            <w:tcW w:w="510"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九台区一般管控区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0"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center"/>
        <w:rPr>
          <w:rFonts w:ascii="Times New Roman" w:hAnsi="Times New Roman" w:eastAsia="仿宋" w:cs="Times New Roman"/>
          <w:b/>
          <w:color w:val="auto"/>
          <w:highlight w:val="none"/>
          <w:u w:val="none"/>
        </w:rPr>
      </w:pPr>
    </w:p>
    <w:p>
      <w:pPr>
        <w:keepNext/>
        <w:keepLines/>
        <w:outlineLvl w:val="1"/>
        <w:rPr>
          <w:rFonts w:ascii="Times New Roman" w:hAnsi="Times New Roman" w:eastAsia="仿宋" w:cs="Times New Roman"/>
          <w:b/>
          <w:bCs/>
          <w:color w:val="auto"/>
          <w:sz w:val="32"/>
          <w:szCs w:val="32"/>
          <w:highlight w:val="none"/>
          <w:u w:val="none"/>
        </w:rPr>
      </w:pPr>
      <w:bookmarkStart w:id="45" w:name="_Toc19736"/>
      <w:bookmarkStart w:id="46" w:name="_Toc30214"/>
      <w:bookmarkStart w:id="47" w:name="_Toc27572346"/>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八</w:t>
      </w:r>
      <w:r>
        <w:rPr>
          <w:rFonts w:ascii="Times New Roman" w:hAnsi="Times New Roman" w:eastAsia="仿宋" w:cs="Times New Roman"/>
          <w:b/>
          <w:bCs/>
          <w:color w:val="auto"/>
          <w:sz w:val="32"/>
          <w:szCs w:val="32"/>
          <w:highlight w:val="none"/>
          <w:u w:val="none"/>
        </w:rPr>
        <w:t>）长春市农安县生态环境准入清单</w:t>
      </w:r>
      <w:bookmarkEnd w:id="45"/>
      <w:bookmarkEnd w:id="46"/>
    </w:p>
    <w:p>
      <w:pPr>
        <w:jc w:val="center"/>
        <w:rPr>
          <w:rFonts w:ascii="Times New Roman" w:hAnsi="Times New Roman" w:eastAsia="仿宋" w:cs="Times New Roman"/>
          <w:b/>
          <w:color w:val="auto"/>
          <w:highlight w:val="none"/>
          <w:u w:val="none"/>
        </w:rPr>
      </w:pPr>
      <w:bookmarkStart w:id="48" w:name="_Toc27572338"/>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3-8</w:t>
      </w:r>
      <w:r>
        <w:rPr>
          <w:rFonts w:ascii="Times New Roman" w:hAnsi="Times New Roman" w:eastAsia="仿宋" w:cs="Times New Roman"/>
          <w:b/>
          <w:color w:val="auto"/>
          <w:highlight w:val="none"/>
          <w:u w:val="none"/>
        </w:rPr>
        <w:t>-1长春市农安县区域特征研判</w:t>
      </w:r>
      <w:bookmarkEnd w:id="48"/>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1.《吉林省主体功能区规划》中的农产品主产区。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吉林省省级全域旅游示范区。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2.位于吉林省中部，省会长春市北面，总面积5400平方公里。辖</w:t>
            </w:r>
            <w:r>
              <w:rPr>
                <w:rFonts w:hint="eastAsia" w:ascii="Times New Roman" w:hAnsi="Times New Roman" w:eastAsia="仿宋" w:cs="Times New Roman"/>
                <w:color w:val="auto"/>
                <w:kern w:val="0"/>
                <w:szCs w:val="21"/>
                <w:highlight w:val="none"/>
                <w:u w:val="none"/>
              </w:rPr>
              <w:t>1</w:t>
            </w:r>
            <w:r>
              <w:rPr>
                <w:rFonts w:ascii="Times New Roman" w:hAnsi="Times New Roman" w:eastAsia="仿宋" w:cs="Times New Roman"/>
                <w:color w:val="auto"/>
                <w:kern w:val="0"/>
                <w:szCs w:val="21"/>
                <w:highlight w:val="none"/>
                <w:u w:val="none"/>
              </w:rPr>
              <w:t>个省级</w:t>
            </w:r>
            <w:r>
              <w:rPr>
                <w:rFonts w:hint="eastAsia" w:ascii="Times New Roman" w:hAnsi="Times New Roman" w:eastAsia="仿宋" w:cs="Times New Roman"/>
                <w:color w:val="auto"/>
                <w:kern w:val="0"/>
                <w:szCs w:val="21"/>
                <w:highlight w:val="none"/>
                <w:u w:val="none"/>
              </w:rPr>
              <w:t>开发区</w:t>
            </w:r>
            <w:r>
              <w:rPr>
                <w:rFonts w:ascii="Times New Roman" w:hAnsi="Times New Roman" w:eastAsia="仿宋" w:cs="Times New Roman"/>
                <w:color w:val="auto"/>
                <w:kern w:val="0"/>
                <w:szCs w:val="21"/>
                <w:highlight w:val="none"/>
                <w:u w:val="none"/>
              </w:rPr>
              <w:t>，22个乡</w:t>
            </w:r>
            <w:r>
              <w:rPr>
                <w:rFonts w:hint="eastAsia" w:ascii="Times New Roman" w:hAnsi="Times New Roman" w:eastAsia="仿宋" w:cs="Times New Roman"/>
                <w:color w:val="auto"/>
                <w:kern w:val="0"/>
                <w:szCs w:val="21"/>
                <w:highlight w:val="none"/>
                <w:u w:val="none"/>
              </w:rPr>
              <w:t>镇</w:t>
            </w:r>
            <w:r>
              <w:rPr>
                <w:rFonts w:ascii="Times New Roman" w:hAnsi="Times New Roman" w:eastAsia="仿宋" w:cs="Times New Roman"/>
                <w:color w:val="auto"/>
                <w:kern w:val="0"/>
                <w:szCs w:val="21"/>
                <w:highlight w:val="none"/>
                <w:u w:val="none"/>
              </w:rPr>
              <w:t>，377个行政村。</w:t>
            </w:r>
          </w:p>
          <w:p>
            <w:pPr>
              <w:rPr>
                <w:rFonts w:ascii="Times New Roman" w:hAnsi="Times New Roman" w:eastAsia="仿宋" w:cs="Times New Roman"/>
                <w:color w:val="auto"/>
                <w:kern w:val="0"/>
                <w:szCs w:val="21"/>
                <w:highlight w:val="none"/>
                <w:u w:val="none"/>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全面推进产出高效、产品安全、资源节约、环境友好的农业现代化，实现全县农业产业化、机械化、科技化、生态化、信息化发展，成为全国现代牧业强县、国家粮食安全保障示范县、现代农业发展的排头兵与示范区，在全省率先实现农业现代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提升农产品加工和装备制造两大支柱产业的支撑能力，推动石油化工、生物医药、生物质资源利用、新型建材、新能源等重点产业链向上下游环节延伸，重点打造四大传统产业制造基地和三大新兴产业基地，推动重点园区转型升级，促进工业化与信息化深度融合，推动工业高端化、智能化、精细化、绿色化、集群化发展，提升工业发展能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打造区域性商贸物流中心，统筹商贸服务、餐饮住宿、居民服务等传统服务业发展，积极培育农业服务、现代物流、电子商务、职业教育培训等新兴服务业，构建“一核、三带、多节点”的服务业空间布局体系，促进服务业全面发展繁荣。</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草场退化、沙化和土壤盐化；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湿地功能退化；畜禽养殖污染。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农安两家子水库、吉林波罗湖国家级自然保护区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吉林农安太平池国家湿地自然公园、吉林农安松花江省级湿地自然公园、黑土地资源、国家级公益林</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（1）确保人类开发活动不挤占耕地。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w:t>
            </w:r>
            <w:r>
              <w:rPr>
                <w:rFonts w:hint="eastAsia" w:ascii="Times New Roman" w:hAnsi="Times New Roman" w:eastAsia="仿宋" w:cs="Times New Roman"/>
                <w:color w:val="auto"/>
                <w:kern w:val="0"/>
                <w:szCs w:val="21"/>
                <w:highlight w:val="none"/>
                <w:u w:val="none"/>
              </w:rPr>
              <w:t>2</w:t>
            </w:r>
            <w:r>
              <w:rPr>
                <w:rFonts w:ascii="Times New Roman" w:hAnsi="Times New Roman" w:eastAsia="仿宋" w:cs="Times New Roman"/>
                <w:color w:val="auto"/>
                <w:kern w:val="0"/>
                <w:szCs w:val="21"/>
                <w:highlight w:val="none"/>
                <w:u w:val="none"/>
              </w:rPr>
              <w:t>）加强草原、湿地、盐碱地的修复和保护。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w:t>
            </w:r>
            <w:r>
              <w:rPr>
                <w:rFonts w:hint="eastAsia" w:ascii="Times New Roman" w:hAnsi="Times New Roman" w:eastAsia="仿宋" w:cs="Times New Roman"/>
                <w:color w:val="auto"/>
                <w:kern w:val="0"/>
                <w:szCs w:val="21"/>
                <w:highlight w:val="none"/>
                <w:u w:val="none"/>
              </w:rPr>
              <w:t>3</w:t>
            </w:r>
            <w:r>
              <w:rPr>
                <w:rFonts w:ascii="Times New Roman" w:hAnsi="Times New Roman" w:eastAsia="仿宋" w:cs="Times New Roman"/>
                <w:color w:val="auto"/>
                <w:kern w:val="0"/>
                <w:szCs w:val="21"/>
                <w:highlight w:val="none"/>
                <w:u w:val="none"/>
              </w:rPr>
              <w:t>）加强农村环境综合整治。</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49" w:name="_Toc27572339"/>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3-8</w:t>
      </w:r>
      <w:r>
        <w:rPr>
          <w:rFonts w:ascii="Times New Roman" w:hAnsi="Times New Roman" w:eastAsia="仿宋" w:cs="Times New Roman"/>
          <w:b/>
          <w:color w:val="auto"/>
          <w:highlight w:val="none"/>
          <w:u w:val="none"/>
        </w:rPr>
        <w:t>-2长春市农安县生态环境准入清单</w:t>
      </w:r>
      <w:bookmarkEnd w:id="49"/>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11"/>
        <w:gridCol w:w="2234"/>
        <w:gridCol w:w="1747"/>
        <w:gridCol w:w="1887"/>
        <w:gridCol w:w="1882"/>
        <w:gridCol w:w="7559"/>
        <w:gridCol w:w="40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28"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13"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32"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51"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ZH22012210001</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吉林波罗湖国家级自然保护区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ZH22012210002</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吉林扶余洪泛湿地省级自然保护区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ZH22012210003</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吉林农安太平池国家湿地公园</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2生态保护红线内湿地公园执行《中华人民共和国湿地保护法》《湿地保护管理规定》</w:t>
            </w:r>
            <w:r>
              <w:rPr>
                <w:rFonts w:hint="eastAsia" w:ascii="Times New Roman" w:hAnsi="Times New Roman" w:eastAsia="仿宋" w:cs="Times New Roman"/>
                <w:color w:val="auto"/>
                <w:sz w:val="20"/>
                <w:szCs w:val="20"/>
                <w:highlight w:val="none"/>
                <w:u w:val="none"/>
              </w:rPr>
              <w:t>《国家级自然公园管理办法（试行）》</w:t>
            </w:r>
            <w:r>
              <w:rPr>
                <w:rFonts w:ascii="Times New Roman" w:hAnsi="Times New Roman" w:eastAsia="仿宋" w:cs="Times New Roman"/>
                <w:color w:val="auto"/>
                <w:sz w:val="20"/>
                <w:szCs w:val="20"/>
                <w:highlight w:val="none"/>
                <w:u w:val="none"/>
              </w:rPr>
              <w:t>《吉林省湿地保护条例》《关于特别是作为水禽栖息地的国际重要湿地公约》相关要求。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ZH22012210004</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吉林农安松花江省级湿地公园</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2生态保护红线内湿地公园执行《中华人民共和国湿地保护法》《湿地保护管理规定》《吉林省湿地保护条例》《关于特别是作为水禽栖息地的国际重要湿地公约》相关要求。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ZH22012210005</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农安县两家子水库生活饮用水水源保护区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ZH22012210006</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农安县国家级公益林</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2国家级公益林执行</w:t>
            </w:r>
            <w:r>
              <w:rPr>
                <w:rFonts w:hint="eastAsia" w:ascii="Times New Roman" w:hAnsi="Times New Roman" w:eastAsia="仿宋" w:cs="Times New Roman"/>
                <w:color w:val="auto"/>
                <w:sz w:val="20"/>
                <w:szCs w:val="20"/>
                <w:highlight w:val="none"/>
                <w:u w:val="none"/>
              </w:rPr>
              <w:t>《国家级公益林管理办法》（2017年修订）</w:t>
            </w:r>
            <w:r>
              <w:rPr>
                <w:rFonts w:ascii="Times New Roman" w:hAnsi="Times New Roman" w:eastAsia="仿宋" w:cs="Times New Roman"/>
                <w:color w:val="auto"/>
                <w:sz w:val="20"/>
                <w:szCs w:val="20"/>
                <w:highlight w:val="none"/>
                <w:u w:val="none"/>
              </w:rPr>
              <w:t>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国家级公益林、防风固沙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ZH22012210007</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农安县黑土地保护区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ZH22012210008</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农安县水源涵养功能重要区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2禁止各种损害生态系统水源涵养功能的经济社会活动和生产方式，如无序采矿、毁林开荒、湿地和草地开垦、过度放牧等。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3禁止导致水体污染的产业发展。</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6禁止生物多样性维护生态功能区的大规模水电开发和林纸一体化产业发展。禁止各种损害栖息地的经济社会活动和生产方式，如无序采矿、毁林开荒、湿地和草地开垦等。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7原则上不再新建各类产业园区，严禁随意扩大现有产业园区范围。以工业为主的产业园区应加快完成园区的循环化改造，鼓励推进低消耗、可循环、少排放的生态型工业区建设。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8</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9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水源涵养、防风固沙、生物多样性、水土保持、水土流失、土地沙化、黑土地保护区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ZH22012210009</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农安县中部台地水土保持功能生态保护红线</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ZH22012210010</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农安县水土保持功能重要区</w:t>
            </w:r>
          </w:p>
        </w:tc>
        <w:tc>
          <w:tcPr>
            <w:tcW w:w="413"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ZH22012210011</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农安县水土流失敏感区</w:t>
            </w:r>
          </w:p>
        </w:tc>
        <w:tc>
          <w:tcPr>
            <w:tcW w:w="413"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ZH22012210012</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农安县土地沙化敏感区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4禁止发展高耗水工业。</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6</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7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水土流失、盐渍化、土地沙化、黑土地保护区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ZH22012210013</w:t>
            </w:r>
          </w:p>
        </w:tc>
        <w:tc>
          <w:tcPr>
            <w:tcW w:w="528"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农安县盐渍化敏感区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2禁止发展高耗水工业。</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盐渍化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jc w:val="center"/>
        </w:trPr>
        <w:tc>
          <w:tcPr>
            <w:tcW w:w="42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ZH22012220001</w:t>
            </w:r>
          </w:p>
        </w:tc>
        <w:tc>
          <w:tcPr>
            <w:tcW w:w="52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长春农安经济开发区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445" w:type="pct"/>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长春农安经济开发区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1智能装备制造功能区：主要发展车辆装备、机械装备、建筑装备制造等产业；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2医药健康食品产业功能区：主要发展医药制造、医疗器械、食品制造、啤酒、饮料及农副食品加工等产业；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3新型建材功能区：主要发展新型建材、家居制造等产业；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4新能源产业功能区；主要发展以生物质能、氢能、太阳能为代表的新能源等产业；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5轻工业产业功能区：主要发展低碳环保轻工业等产业；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6现代服务业产业功能区；主要发展仓储物流等产业；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7循环经济功能区：主要发展以汽车拆解，废轮胎制造等为代表的废弃资源利用产业及与开发区主导产业相关的产业链延伸项目；</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8综合产业功能区及预留用地：发展新材料以及其它未知行业的企业。</w:t>
            </w:r>
          </w:p>
        </w:tc>
        <w:tc>
          <w:tcPr>
            <w:tcW w:w="951"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建设以农副产品加工、石油化工、食品化工、新能源、商贸物流、智能装备制造、家居建材、医药健康、废弃资源利用为主的产业园区。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以装备制造、家居建材、医药健康、农副产品加工、食品制造、新能源、废弃资源利用、仓储物流产业为主导产业。</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r>
              <w:rPr>
                <w:rFonts w:hint="eastAsia" w:ascii="Times New Roman" w:hAnsi="Times New Roman" w:eastAsia="仿宋" w:cs="Times New Roman"/>
                <w:color w:val="auto"/>
                <w:sz w:val="20"/>
                <w:szCs w:val="20"/>
                <w:highlight w:val="none"/>
                <w:u w:val="none"/>
              </w:rPr>
              <w:t>《农安县人民政府关于划定高污染燃料禁燃区的通告》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jc w:val="center"/>
        </w:trPr>
        <w:tc>
          <w:tcPr>
            <w:tcW w:w="428" w:type="pct"/>
            <w:vMerge w:val="continue"/>
            <w:shd w:val="clear" w:color="auto" w:fill="auto"/>
            <w:vAlign w:val="center"/>
          </w:tcPr>
          <w:p>
            <w:pPr>
              <w:jc w:val="left"/>
              <w:rPr>
                <w:color w:val="auto"/>
                <w:highlight w:val="none"/>
                <w:u w:val="none"/>
              </w:rPr>
            </w:pPr>
          </w:p>
        </w:tc>
        <w:tc>
          <w:tcPr>
            <w:tcW w:w="528" w:type="pct"/>
            <w:vMerge w:val="continue"/>
            <w:shd w:val="clear" w:color="auto" w:fill="auto"/>
            <w:vAlign w:val="center"/>
          </w:tcPr>
          <w:p>
            <w:pPr>
              <w:jc w:val="left"/>
              <w:rPr>
                <w:color w:val="auto"/>
                <w:highlight w:val="none"/>
                <w:u w:val="none"/>
              </w:rPr>
            </w:pPr>
          </w:p>
        </w:tc>
        <w:tc>
          <w:tcPr>
            <w:tcW w:w="413" w:type="pct"/>
            <w:vMerge w:val="continue"/>
            <w:tcBorders>
              <w:right w:val="single" w:color="auto" w:sz="4" w:space="0"/>
            </w:tcBorders>
            <w:shd w:val="clear" w:color="auto" w:fill="auto"/>
            <w:vAlign w:val="center"/>
          </w:tcPr>
          <w:p>
            <w:pPr>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45"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农安工业集中区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重点发展食品制造产业、农副产品制造产业、机械制造产业、饲料添加剂及食品添加剂等精细化工产业、医药化工产业、啤酒及饮料生产产业、石油化工产业、太阳能及生物质能等新型清洁能源产业、第三方物流产业、新材料制造产业等领域。</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2" w:hRule="atLeast"/>
          <w:jc w:val="center"/>
        </w:trPr>
        <w:tc>
          <w:tcPr>
            <w:tcW w:w="428" w:type="pct"/>
            <w:vMerge w:val="continue"/>
            <w:shd w:val="clear" w:color="auto" w:fill="auto"/>
            <w:vAlign w:val="center"/>
          </w:tcPr>
          <w:p>
            <w:pPr>
              <w:jc w:val="left"/>
              <w:rPr>
                <w:color w:val="auto"/>
                <w:highlight w:val="none"/>
                <w:u w:val="none"/>
              </w:rPr>
            </w:pPr>
          </w:p>
        </w:tc>
        <w:tc>
          <w:tcPr>
            <w:tcW w:w="528" w:type="pct"/>
            <w:vMerge w:val="continue"/>
            <w:shd w:val="clear" w:color="auto" w:fill="auto"/>
            <w:vAlign w:val="center"/>
          </w:tcPr>
          <w:p>
            <w:pPr>
              <w:jc w:val="left"/>
              <w:rPr>
                <w:color w:val="auto"/>
                <w:highlight w:val="none"/>
                <w:u w:val="none"/>
              </w:rPr>
            </w:pPr>
          </w:p>
        </w:tc>
        <w:tc>
          <w:tcPr>
            <w:tcW w:w="413" w:type="pct"/>
            <w:vMerge w:val="continue"/>
            <w:tcBorders>
              <w:right w:val="single" w:color="auto" w:sz="4" w:space="0"/>
            </w:tcBorders>
            <w:shd w:val="clear" w:color="auto" w:fill="auto"/>
            <w:vAlign w:val="center"/>
          </w:tcPr>
          <w:p>
            <w:pPr>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4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1禁止建设采用落后的生产工艺或生产设备，不符合国家相关产业政策或者属于国家禁止建设的“十五小”和“新五小”项目；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2禁止建设不符合行业准入条件、行业发展规划的项目；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3禁止新建高毒、高残留以及对环境影响大的农药原药生产装置企业；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4禁止建设新增铅、汞、铬、砷、镉等重金属排放总量的项目；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5禁止建设危险化学品仓储物流等具有重大环境风险、且无法采取有效防治、应急措施的项目；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6新建、扩建石油加工、化学原料和化学制品制造、化学原料药、化学纤维制造等化工项目须满足产业布局要求；</w:t>
            </w:r>
          </w:p>
          <w:p>
            <w:pPr>
              <w:jc w:val="left"/>
              <w:rPr>
                <w:color w:val="auto"/>
                <w:highlight w:val="none"/>
                <w:u w:val="none"/>
              </w:rPr>
            </w:pPr>
            <w:r>
              <w:rPr>
                <w:rFonts w:ascii="Times New Roman" w:hAnsi="Times New Roman" w:eastAsia="仿宋" w:cs="Times New Roman"/>
                <w:color w:val="auto"/>
                <w:kern w:val="0"/>
                <w:szCs w:val="21"/>
                <w:highlight w:val="none"/>
                <w:u w:val="none"/>
              </w:rPr>
              <w:t>7城市建成区范围内原则上不再新建单台容量29兆瓦(40蒸吨/小时)以下燃煤锅炉；其他区域原则上不再新建单台容量14兆瓦(20蒸吨/小时)以下的燃煤锅炉。</w:t>
            </w:r>
          </w:p>
        </w:tc>
        <w:tc>
          <w:tcPr>
            <w:tcW w:w="951"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2" w:hRule="atLeast"/>
          <w:jc w:val="center"/>
        </w:trPr>
        <w:tc>
          <w:tcPr>
            <w:tcW w:w="428" w:type="pct"/>
            <w:vMerge w:val="continue"/>
            <w:shd w:val="clear" w:color="auto" w:fill="auto"/>
            <w:vAlign w:val="center"/>
          </w:tcPr>
          <w:p>
            <w:pPr>
              <w:jc w:val="left"/>
              <w:rPr>
                <w:color w:val="auto"/>
                <w:highlight w:val="none"/>
                <w:u w:val="none"/>
              </w:rPr>
            </w:pPr>
          </w:p>
        </w:tc>
        <w:tc>
          <w:tcPr>
            <w:tcW w:w="528" w:type="pct"/>
            <w:vMerge w:val="continue"/>
            <w:shd w:val="clear" w:color="auto" w:fill="auto"/>
            <w:vAlign w:val="center"/>
          </w:tcPr>
          <w:p>
            <w:pPr>
              <w:jc w:val="left"/>
              <w:rPr>
                <w:color w:val="auto"/>
                <w:highlight w:val="none"/>
                <w:u w:val="none"/>
              </w:rPr>
            </w:pPr>
          </w:p>
        </w:tc>
        <w:tc>
          <w:tcPr>
            <w:tcW w:w="413" w:type="pct"/>
            <w:vMerge w:val="continue"/>
            <w:tcBorders>
              <w:right w:val="single" w:color="auto" w:sz="4" w:space="0"/>
            </w:tcBorders>
            <w:shd w:val="clear" w:color="auto" w:fill="auto"/>
            <w:vAlign w:val="center"/>
          </w:tcPr>
          <w:p>
            <w:pPr>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4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87"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新建、扩建“两高”项目应采用先进适用的工艺技术和装备，单位产品物耗、能耗、水耗等须达到清洁生产先进水平。</w:t>
            </w:r>
          </w:p>
        </w:tc>
        <w:tc>
          <w:tcPr>
            <w:tcW w:w="951"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428" w:type="pct"/>
            <w:vMerge w:val="continue"/>
            <w:shd w:val="clear" w:color="auto" w:fill="auto"/>
            <w:vAlign w:val="center"/>
          </w:tcPr>
          <w:p>
            <w:pPr>
              <w:jc w:val="left"/>
              <w:rPr>
                <w:color w:val="auto"/>
                <w:highlight w:val="none"/>
                <w:u w:val="none"/>
              </w:rPr>
            </w:pPr>
          </w:p>
        </w:tc>
        <w:tc>
          <w:tcPr>
            <w:tcW w:w="528" w:type="pct"/>
            <w:vMerge w:val="continue"/>
            <w:shd w:val="clear" w:color="auto" w:fill="auto"/>
            <w:vAlign w:val="center"/>
          </w:tcPr>
          <w:p>
            <w:pPr>
              <w:jc w:val="left"/>
              <w:rPr>
                <w:color w:val="auto"/>
                <w:highlight w:val="none"/>
                <w:u w:val="none"/>
              </w:rPr>
            </w:pPr>
          </w:p>
        </w:tc>
        <w:tc>
          <w:tcPr>
            <w:tcW w:w="413" w:type="pct"/>
            <w:vMerge w:val="continue"/>
            <w:tcBorders>
              <w:right w:val="single" w:color="auto" w:sz="4" w:space="0"/>
            </w:tcBorders>
            <w:shd w:val="clear" w:color="auto" w:fill="auto"/>
            <w:vAlign w:val="center"/>
          </w:tcPr>
          <w:p>
            <w:pPr>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45"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长春农安经济开发区</w:t>
            </w:r>
          </w:p>
          <w:p>
            <w:pPr>
              <w:jc w:val="left"/>
              <w:rPr>
                <w:color w:val="auto"/>
                <w:highlight w:val="none"/>
                <w:u w:val="none"/>
              </w:rPr>
            </w:pPr>
            <w:r>
              <w:rPr>
                <w:rFonts w:ascii="Times New Roman" w:hAnsi="Times New Roman" w:eastAsia="仿宋" w:cs="Times New Roman"/>
                <w:color w:val="auto"/>
                <w:kern w:val="0"/>
                <w:szCs w:val="21"/>
                <w:highlight w:val="none"/>
                <w:u w:val="none"/>
              </w:rPr>
              <w:t>结合开发区规划环评（跟踪评价）及审查意见要求，开发区现正在对产业布局进行优化调整，调整完成前禁止对不符合开发区产业布局的项目进行扩建；对与调整后规划产业布局不符且环境协调性较差的企业通过土地置换等方式搬迁至开发区相应的产业园区内或予以淘汰；具有一定环境相容性的企业控制其生产规模不得扩建，逐步完成产业转型或迁移工作。</w:t>
            </w:r>
          </w:p>
        </w:tc>
        <w:tc>
          <w:tcPr>
            <w:tcW w:w="951"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428" w:type="pct"/>
            <w:vMerge w:val="continue"/>
            <w:shd w:val="clear" w:color="auto" w:fill="auto"/>
            <w:vAlign w:val="center"/>
          </w:tcPr>
          <w:p>
            <w:pPr>
              <w:jc w:val="left"/>
              <w:rPr>
                <w:color w:val="auto"/>
                <w:highlight w:val="none"/>
                <w:u w:val="none"/>
              </w:rPr>
            </w:pPr>
          </w:p>
        </w:tc>
        <w:tc>
          <w:tcPr>
            <w:tcW w:w="528" w:type="pct"/>
            <w:vMerge w:val="continue"/>
            <w:shd w:val="clear" w:color="auto" w:fill="auto"/>
            <w:vAlign w:val="center"/>
          </w:tcPr>
          <w:p>
            <w:pPr>
              <w:jc w:val="left"/>
              <w:rPr>
                <w:color w:val="auto"/>
                <w:highlight w:val="none"/>
                <w:u w:val="none"/>
              </w:rPr>
            </w:pPr>
          </w:p>
        </w:tc>
        <w:tc>
          <w:tcPr>
            <w:tcW w:w="413" w:type="pct"/>
            <w:vMerge w:val="continue"/>
            <w:tcBorders>
              <w:right w:val="single" w:color="auto" w:sz="4" w:space="0"/>
            </w:tcBorders>
            <w:shd w:val="clear" w:color="auto" w:fill="auto"/>
            <w:vAlign w:val="center"/>
          </w:tcPr>
          <w:p>
            <w:pPr>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45"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农安工业集中区</w:t>
            </w:r>
          </w:p>
          <w:p>
            <w:pPr>
              <w:jc w:val="left"/>
              <w:rPr>
                <w:color w:val="auto"/>
                <w:highlight w:val="none"/>
                <w:u w:val="none"/>
              </w:rPr>
            </w:pPr>
            <w:r>
              <w:rPr>
                <w:rFonts w:ascii="Times New Roman" w:hAnsi="Times New Roman" w:eastAsia="仿宋" w:cs="Times New Roman"/>
                <w:color w:val="auto"/>
                <w:kern w:val="0"/>
                <w:szCs w:val="21"/>
                <w:highlight w:val="none"/>
                <w:u w:val="none"/>
              </w:rPr>
              <w:t>结合开发区规划环评（跟踪评价）及审查意见要求，禁止对不符合开发区产业布局的项目进行扩建，在对周围环境影响较大时及时搬迁、淘汰。</w:t>
            </w:r>
          </w:p>
        </w:tc>
        <w:tc>
          <w:tcPr>
            <w:tcW w:w="951"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4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1禁止新建、扩建废水经预处理达不到区域污水处理厂接纳标准，可能对污水厂运行造成冲击的项目；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2深入推进工业涂装、包装印刷和油品储运销等行业挥发性有机物深度治理，加强挥发性有机物高效收集治理设施建设，实现排气筒与厂界双达标。加快推进挥发性有机物排放</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重点企业治理和在线监控设施建设,推动挥发性有机物产品源头替代；</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3因地制宜推进清洁供暖，减少民用散烧煤。全面摸清城中村、城乡接合部散煤底数，制定清洁取暖散煤替代方案。</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4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1推动单台容量25兆瓦(35蒸吨/小时)及以上燃煤供热锅炉实施超低排放改造； </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 xml:space="preserve">2强化源头防控，鼓励企业采用先进适用的清洁生产原料、技术、工艺和装备。对排放强度高的重污染行业实施清洁化改造； </w:t>
            </w:r>
          </w:p>
          <w:p>
            <w:pPr>
              <w:jc w:val="left"/>
              <w:rPr>
                <w:color w:val="auto"/>
                <w:highlight w:val="none"/>
                <w:u w:val="none"/>
              </w:rPr>
            </w:pPr>
            <w:r>
              <w:rPr>
                <w:rFonts w:ascii="Times New Roman" w:hAnsi="Times New Roman" w:eastAsia="仿宋" w:cs="Times New Roman"/>
                <w:color w:val="auto"/>
                <w:kern w:val="0"/>
                <w:szCs w:val="21"/>
                <w:highlight w:val="none"/>
                <w:u w:val="none"/>
              </w:rPr>
              <w:t>3全面推进污泥处理设施能力建设，现有设施能力不足或工艺落后的要进行扩建、改建，保障污泥无害化处理处置达到国家要求。因地制宜推进污泥资源化利用。</w:t>
            </w:r>
          </w:p>
        </w:tc>
        <w:tc>
          <w:tcPr>
            <w:tcW w:w="951"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4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87"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51"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环境风险防控</w:t>
            </w:r>
          </w:p>
        </w:tc>
        <w:tc>
          <w:tcPr>
            <w:tcW w:w="44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3严格管理涉及易导致环境风险的有毒有害和易燃易爆物质的生产、使用、排放、贮运等新建、改扩建项目；</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color w:val="auto"/>
                <w:kern w:val="0"/>
                <w:szCs w:val="21"/>
                <w:highlight w:val="none"/>
                <w:u w:val="none"/>
              </w:rPr>
              <w:t>4园区管委会协助落实土壤污染重点监管企业污染隐患排查、自行监测、拆除生产设备污染防治方案备案等制度。</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28" w:type="pct"/>
            <w:vMerge w:val="continue"/>
            <w:shd w:val="clear" w:color="auto" w:fill="auto"/>
            <w:vAlign w:val="center"/>
          </w:tcPr>
          <w:p>
            <w:pPr>
              <w:widowControl/>
              <w:jc w:val="left"/>
              <w:rPr>
                <w:color w:val="auto"/>
                <w:highlight w:val="none"/>
                <w:u w:val="none"/>
              </w:rPr>
            </w:pPr>
          </w:p>
        </w:tc>
        <w:tc>
          <w:tcPr>
            <w:tcW w:w="528" w:type="pct"/>
            <w:vMerge w:val="continue"/>
            <w:shd w:val="clear" w:color="auto" w:fill="auto"/>
            <w:vAlign w:val="center"/>
          </w:tcPr>
          <w:p>
            <w:pPr>
              <w:widowControl/>
              <w:jc w:val="left"/>
              <w:rPr>
                <w:color w:val="auto"/>
                <w:highlight w:val="none"/>
                <w:u w:val="none"/>
              </w:rPr>
            </w:pPr>
          </w:p>
        </w:tc>
        <w:tc>
          <w:tcPr>
            <w:tcW w:w="413" w:type="pct"/>
            <w:vMerge w:val="continue"/>
            <w:tcBorders>
              <w:right w:val="single" w:color="auto" w:sz="4" w:space="0"/>
            </w:tcBorders>
            <w:shd w:val="clear" w:color="auto" w:fill="auto"/>
            <w:vAlign w:val="center"/>
          </w:tcPr>
          <w:p>
            <w:pPr>
              <w:widowControl/>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widowControl/>
              <w:jc w:val="left"/>
              <w:rPr>
                <w:color w:val="auto"/>
                <w:highlight w:val="none"/>
                <w:u w:val="none"/>
              </w:rPr>
            </w:pPr>
          </w:p>
        </w:tc>
        <w:tc>
          <w:tcPr>
            <w:tcW w:w="44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1园区制定环境风险应急预案，成立应急组织机构，定期开展应急演练，提高区域环境风险防范能力；</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2严格管理涉及易导致环境风险的有毒有害和易燃易爆物质的生产、使用、排放、贮运等新建、改扩建项目；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建立突发环境事件联动机制，事故状态下园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jc w:val="left"/>
              <w:rPr>
                <w:color w:val="auto"/>
                <w:highlight w:val="none"/>
                <w:u w:val="none"/>
              </w:rPr>
            </w:pPr>
            <w:r>
              <w:rPr>
                <w:rFonts w:ascii="Times New Roman" w:hAnsi="Times New Roman" w:eastAsia="仿宋" w:cs="Times New Roman"/>
                <w:color w:val="auto"/>
                <w:kern w:val="0"/>
                <w:szCs w:val="21"/>
                <w:highlight w:val="none"/>
                <w:u w:val="none"/>
              </w:rPr>
              <w:t>4健全园区环境风险防控工程。建立企业、园区和周边水系环境风险防控体系，建设完善的环境风险防控设施，建设能够有效防止泄漏物以及消防废水等进入园区外环境的拦截措施。</w:t>
            </w:r>
          </w:p>
        </w:tc>
        <w:tc>
          <w:tcPr>
            <w:tcW w:w="951" w:type="pct"/>
            <w:vMerge w:val="continue"/>
            <w:tcBorders>
              <w:left w:val="single" w:color="auto" w:sz="4" w:space="0"/>
              <w:right w:val="single" w:color="auto" w:sz="4" w:space="0"/>
            </w:tcBorders>
            <w:vAlign w:val="center"/>
          </w:tcPr>
          <w:p>
            <w:pPr>
              <w:widowControl/>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28" w:type="pct"/>
            <w:vMerge w:val="continue"/>
            <w:shd w:val="clear" w:color="auto" w:fill="auto"/>
            <w:vAlign w:val="center"/>
          </w:tcPr>
          <w:p>
            <w:pPr>
              <w:widowControl/>
              <w:jc w:val="left"/>
              <w:rPr>
                <w:color w:val="auto"/>
                <w:highlight w:val="none"/>
                <w:u w:val="none"/>
              </w:rPr>
            </w:pPr>
          </w:p>
        </w:tc>
        <w:tc>
          <w:tcPr>
            <w:tcW w:w="528" w:type="pct"/>
            <w:vMerge w:val="continue"/>
            <w:shd w:val="clear" w:color="auto" w:fill="auto"/>
            <w:vAlign w:val="center"/>
          </w:tcPr>
          <w:p>
            <w:pPr>
              <w:widowControl/>
              <w:jc w:val="left"/>
              <w:rPr>
                <w:color w:val="auto"/>
                <w:highlight w:val="none"/>
                <w:u w:val="none"/>
              </w:rPr>
            </w:pPr>
          </w:p>
        </w:tc>
        <w:tc>
          <w:tcPr>
            <w:tcW w:w="413" w:type="pct"/>
            <w:vMerge w:val="continue"/>
            <w:tcBorders>
              <w:right w:val="single" w:color="auto" w:sz="4" w:space="0"/>
            </w:tcBorders>
            <w:shd w:val="clear" w:color="auto" w:fill="auto"/>
            <w:vAlign w:val="center"/>
          </w:tcPr>
          <w:p>
            <w:pPr>
              <w:widowControl/>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widowControl/>
              <w:jc w:val="left"/>
              <w:rPr>
                <w:color w:val="auto"/>
                <w:highlight w:val="none"/>
                <w:u w:val="none"/>
              </w:rPr>
            </w:pPr>
          </w:p>
        </w:tc>
        <w:tc>
          <w:tcPr>
            <w:tcW w:w="445"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长春农安经济开发区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1加强高风险企业环境风险管理，健全企业应急防范体系，有效防控突发环境事件；</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设项目设计阶段，应按照或参照《化工建设项目环境保护设计规范》（GB50483）等国家标准和规范要求，设计有效防止泄漏物质、消防水、污染雨水等扩散至外环境的收集、导流、拦截、降污等环境风险防范设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pPr>
              <w:jc w:val="left"/>
              <w:rPr>
                <w:color w:val="auto"/>
                <w:highlight w:val="none"/>
                <w:u w:val="none"/>
              </w:rPr>
            </w:pPr>
            <w:r>
              <w:rPr>
                <w:rFonts w:ascii="Times New Roman" w:hAnsi="Times New Roman" w:eastAsia="仿宋" w:cs="Times New Roman"/>
                <w:color w:val="auto"/>
                <w:kern w:val="0"/>
                <w:szCs w:val="21"/>
                <w:highlight w:val="none"/>
                <w:u w:val="none"/>
              </w:rPr>
              <w:t>4企业应积极配合建设和完善开发区环境风险预警体系、环境风险防控工程、环境应急保障体系。企业突发环境事件应急预案开发区的应急预案相衔接，加强区域应急物资调配管理，构建区域环境风险联控机制。</w:t>
            </w:r>
          </w:p>
        </w:tc>
        <w:tc>
          <w:tcPr>
            <w:tcW w:w="951" w:type="pct"/>
            <w:vMerge w:val="continue"/>
            <w:tcBorders>
              <w:left w:val="single" w:color="auto" w:sz="4" w:space="0"/>
              <w:right w:val="single" w:color="auto" w:sz="4" w:space="0"/>
            </w:tcBorders>
            <w:vAlign w:val="center"/>
          </w:tcPr>
          <w:p>
            <w:pPr>
              <w:widowControl/>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28" w:type="pct"/>
            <w:vMerge w:val="continue"/>
            <w:shd w:val="clear" w:color="auto" w:fill="auto"/>
            <w:vAlign w:val="center"/>
          </w:tcPr>
          <w:p>
            <w:pPr>
              <w:widowControl/>
              <w:jc w:val="left"/>
              <w:rPr>
                <w:color w:val="auto"/>
                <w:highlight w:val="none"/>
                <w:u w:val="none"/>
              </w:rPr>
            </w:pPr>
          </w:p>
        </w:tc>
        <w:tc>
          <w:tcPr>
            <w:tcW w:w="528" w:type="pct"/>
            <w:vMerge w:val="continue"/>
            <w:shd w:val="clear" w:color="auto" w:fill="auto"/>
            <w:vAlign w:val="center"/>
          </w:tcPr>
          <w:p>
            <w:pPr>
              <w:widowControl/>
              <w:jc w:val="left"/>
              <w:rPr>
                <w:color w:val="auto"/>
                <w:highlight w:val="none"/>
                <w:u w:val="none"/>
              </w:rPr>
            </w:pPr>
          </w:p>
        </w:tc>
        <w:tc>
          <w:tcPr>
            <w:tcW w:w="413" w:type="pct"/>
            <w:vMerge w:val="continue"/>
            <w:tcBorders>
              <w:right w:val="single" w:color="auto" w:sz="4" w:space="0"/>
            </w:tcBorders>
            <w:shd w:val="clear" w:color="auto" w:fill="auto"/>
            <w:vAlign w:val="center"/>
          </w:tcPr>
          <w:p>
            <w:pPr>
              <w:widowControl/>
              <w:jc w:val="left"/>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widowControl/>
              <w:jc w:val="left"/>
              <w:rPr>
                <w:color w:val="auto"/>
                <w:highlight w:val="none"/>
                <w:u w:val="none"/>
              </w:rPr>
            </w:pPr>
          </w:p>
        </w:tc>
        <w:tc>
          <w:tcPr>
            <w:tcW w:w="445"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78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农安工业集中区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1加强高风险企业环境风险管理，健全企业应急防范体系，在规划的化工园区推动健全完善三级应急防控体系，有效防控突发环境事件；</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2区内企业应建立完善风险防范体系及风险防范措施，做好与集中区的联动；制定应急预案并及时修编，定期演练，加强对于风险防范措施的维护，保证措施有效、应急物质充足；</w:t>
            </w:r>
          </w:p>
          <w:p>
            <w:pPr>
              <w:jc w:val="left"/>
              <w:rPr>
                <w:color w:val="auto"/>
                <w:highlight w:val="none"/>
                <w:u w:val="none"/>
              </w:rPr>
            </w:pPr>
            <w:r>
              <w:rPr>
                <w:rFonts w:ascii="Times New Roman" w:hAnsi="Times New Roman" w:eastAsia="仿宋" w:cs="Times New Roman"/>
                <w:color w:val="auto"/>
                <w:kern w:val="0"/>
                <w:szCs w:val="21"/>
                <w:highlight w:val="none"/>
                <w:u w:val="none"/>
              </w:rPr>
              <w:t>3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51" w:type="pct"/>
            <w:vMerge w:val="continue"/>
            <w:tcBorders>
              <w:left w:val="single" w:color="auto" w:sz="4" w:space="0"/>
              <w:right w:val="single" w:color="auto" w:sz="4" w:space="0"/>
            </w:tcBorders>
            <w:vAlign w:val="center"/>
          </w:tcPr>
          <w:p>
            <w:pPr>
              <w:widowControl/>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4"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1882" w:type="dxa"/>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7559" w:type="dxa"/>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长春农安经济开发区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1鼓励入区企业对工业用水进行重复利用，力争2030年工业用水重复利用率达到75%以上；逐步开展污水处理厂中水利用工程建设，力争2030年中水回用率达到10%以上。</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4"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82" w:type="dxa"/>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7559" w:type="dxa"/>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农安工业集中区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1鼓励入区企业对工业用水进行重复利用。</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51" w:type="pct"/>
            <w:vMerge w:val="continue"/>
            <w:tcBorders>
              <w:left w:val="single" w:color="auto" w:sz="4" w:space="0"/>
              <w:right w:val="single" w:color="auto" w:sz="4" w:space="0"/>
            </w:tcBorders>
            <w:vAlign w:val="center"/>
          </w:tcPr>
          <w:p>
            <w:pPr>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8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559" w:type="dxa"/>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51"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8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559" w:type="dxa"/>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51"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28" w:type="pct"/>
            <w:vMerge w:val="continue"/>
            <w:shd w:val="clear" w:color="auto" w:fill="auto"/>
            <w:vAlign w:val="center"/>
          </w:tcPr>
          <w:p>
            <w:pPr>
              <w:rPr>
                <w:color w:val="auto"/>
                <w:highlight w:val="none"/>
                <w:u w:val="none"/>
              </w:rPr>
            </w:pPr>
          </w:p>
        </w:tc>
        <w:tc>
          <w:tcPr>
            <w:tcW w:w="528" w:type="pct"/>
            <w:vMerge w:val="continue"/>
            <w:shd w:val="clear" w:color="auto" w:fill="auto"/>
            <w:vAlign w:val="center"/>
          </w:tcPr>
          <w:p>
            <w:pPr>
              <w:rPr>
                <w:color w:val="auto"/>
                <w:highlight w:val="none"/>
                <w:u w:val="none"/>
              </w:rPr>
            </w:pPr>
          </w:p>
        </w:tc>
        <w:tc>
          <w:tcPr>
            <w:tcW w:w="413" w:type="pct"/>
            <w:vMerge w:val="continue"/>
            <w:tcBorders>
              <w:right w:val="single" w:color="auto" w:sz="4" w:space="0"/>
            </w:tcBorders>
            <w:shd w:val="clear" w:color="auto" w:fill="auto"/>
            <w:vAlign w:val="center"/>
          </w:tcPr>
          <w:p>
            <w:pPr>
              <w:rPr>
                <w:color w:val="auto"/>
                <w:highlight w:val="none"/>
                <w:u w:val="none"/>
              </w:rPr>
            </w:pPr>
          </w:p>
        </w:tc>
        <w:tc>
          <w:tcPr>
            <w:tcW w:w="44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8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559" w:type="dxa"/>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该区域不涉及禁燃区。县级以上城市建成区原则上不再新建单台容量29兆瓦（40蒸吨/小时）以下燃煤锅炉，其他区域原则上不再新建单台容量14兆瓦（20蒸吨/小时）以下的燃煤锅炉。按照国家、省政策的调整和要求，逐步开展燃煤锅炉淘汰工作。</w:t>
            </w:r>
          </w:p>
        </w:tc>
        <w:tc>
          <w:tcPr>
            <w:tcW w:w="951"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ZH22012220002</w:t>
            </w:r>
          </w:p>
        </w:tc>
        <w:tc>
          <w:tcPr>
            <w:tcW w:w="528"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农安县城镇开发边界</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51"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大气环境受体敏感重点管控区、水环境城镇生活污染重点管控区、建设用地污染风险重点管控区、高污染燃料禁燃区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农安县</w:t>
            </w:r>
            <w:r>
              <w:rPr>
                <w:rFonts w:hint="eastAsia" w:ascii="Times New Roman" w:hAnsi="Times New Roman" w:eastAsia="仿宋" w:cs="Times New Roman"/>
                <w:bCs/>
                <w:color w:val="auto"/>
                <w:kern w:val="0"/>
                <w:sz w:val="20"/>
                <w:szCs w:val="20"/>
                <w:highlight w:val="none"/>
                <w:u w:val="none"/>
              </w:rPr>
              <w:t>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农安县</w:t>
            </w:r>
            <w:r>
              <w:rPr>
                <w:rFonts w:hint="eastAsia" w:ascii="Times New Roman" w:hAnsi="Times New Roman" w:eastAsia="仿宋" w:cs="Times New Roman"/>
                <w:bCs/>
                <w:color w:val="auto"/>
                <w:kern w:val="0"/>
                <w:sz w:val="20"/>
                <w:szCs w:val="20"/>
                <w:highlight w:val="none"/>
                <w:u w:val="none"/>
              </w:rPr>
              <w:t>人民政府关于划定高污染燃料禁燃区的通告》</w:t>
            </w:r>
            <w:r>
              <w:rPr>
                <w:rFonts w:ascii="Times New Roman" w:hAnsi="Times New Roman" w:eastAsia="仿宋" w:cs="Times New Roman"/>
                <w:color w:val="auto"/>
                <w:sz w:val="20"/>
                <w:szCs w:val="20"/>
                <w:highlight w:val="none"/>
                <w:u w:val="none"/>
              </w:rPr>
              <w:t>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ZH22012220003</w:t>
            </w:r>
          </w:p>
        </w:tc>
        <w:tc>
          <w:tcPr>
            <w:tcW w:w="5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农安县大气环境高排放重点管控区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大气环境高排放重点管控区、水环境农业污染重点管控区、建设用地污染风险重点管控区、高污染燃料禁燃区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“十四五”节能减排综合实施方案》《吉林省生态环境保护“十四五”规划》《长春市人民政府关于划定高污染燃料禁燃区的通告》</w:t>
            </w:r>
            <w:r>
              <w:rPr>
                <w:rFonts w:hint="eastAsia" w:ascii="Times New Roman" w:hAnsi="Times New Roman" w:eastAsia="仿宋" w:cs="Times New Roman"/>
                <w:color w:val="auto"/>
                <w:sz w:val="20"/>
                <w:szCs w:val="20"/>
                <w:highlight w:val="none"/>
                <w:u w:val="none"/>
              </w:rPr>
              <w:t>《农安县人民政府关于划定高污染燃料禁燃区的通告》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农安县</w:t>
            </w:r>
            <w:r>
              <w:rPr>
                <w:rFonts w:hint="eastAsia" w:ascii="Times New Roman" w:hAnsi="Times New Roman" w:eastAsia="仿宋" w:cs="Times New Roman"/>
                <w:bCs/>
                <w:color w:val="auto"/>
                <w:kern w:val="0"/>
                <w:sz w:val="20"/>
                <w:szCs w:val="20"/>
                <w:highlight w:val="none"/>
                <w:u w:val="none"/>
              </w:rPr>
              <w:t>人民政府关于划定高污染燃料禁燃区的通告》</w:t>
            </w:r>
            <w:r>
              <w:rPr>
                <w:rFonts w:ascii="Times New Roman" w:hAnsi="Times New Roman" w:eastAsia="仿宋" w:cs="Times New Roman"/>
                <w:color w:val="auto"/>
                <w:sz w:val="20"/>
                <w:szCs w:val="20"/>
                <w:highlight w:val="none"/>
                <w:u w:val="none"/>
              </w:rPr>
              <w:t>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ZH22012220004</w:t>
            </w:r>
          </w:p>
        </w:tc>
        <w:tc>
          <w:tcPr>
            <w:tcW w:w="5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农安县大气环境布局敏感重点管控区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w:t>
            </w:r>
          </w:p>
          <w:p>
            <w:pPr>
              <w:jc w:val="left"/>
              <w:rPr>
                <w:rFonts w:ascii="Times New Roman" w:hAnsi="Times New Roman" w:eastAsia="仿宋" w:cs="Times New Roman"/>
                <w:b/>
                <w:bCs/>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ZH22012220005</w:t>
            </w:r>
          </w:p>
        </w:tc>
        <w:tc>
          <w:tcPr>
            <w:tcW w:w="5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农安县大气环境弱扩散重点管控区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3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51"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大气环境弱扩散重点管控区、水环境农业污染重点管控区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1深入推进秸秆禁烧管控，实行秸秆全域禁烧。加快淘汰老旧车辆；强化道路扬尘控制。</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2实施化肥农药减量增效行动和农膜回收行动；采取积极措施，推进养殖业大气氨减排。</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ZH22012220006</w:t>
            </w:r>
          </w:p>
        </w:tc>
        <w:tc>
          <w:tcPr>
            <w:tcW w:w="528"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农安县水环境农业污染重点管控区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规模化畜禽养殖场（小区）应当保证畜禽粪污无害化处理和资源化利用设施的正常运转。散养密集区要实行畜禽粪便污水分户收集、集中处理利用。</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水环境农业污染重点管控区、建设用地污染风险重点管控区、高污染燃料禁燃区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基于“三线”研究成果，结合《吉林省生态环境保护“十四五”规划》《中共吉林省委 吉林省人民政府关于深入打好污染防治攻坚战的实施意见》《长春市人民政府关于划定高污染燃料禁燃区的通告》</w:t>
            </w:r>
            <w:r>
              <w:rPr>
                <w:rFonts w:hint="eastAsia" w:ascii="Times New Roman" w:hAnsi="Times New Roman" w:eastAsia="仿宋" w:cs="Times New Roman"/>
                <w:color w:val="auto"/>
                <w:sz w:val="20"/>
                <w:szCs w:val="20"/>
                <w:highlight w:val="none"/>
                <w:u w:val="none"/>
              </w:rPr>
              <w:t>《农安县人民政府关于划定高污染燃料禁燃区的通告》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28"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w:t>
            </w:r>
            <w:r>
              <w:rPr>
                <w:rFonts w:hint="eastAsia" w:ascii="Times New Roman" w:hAnsi="Times New Roman" w:eastAsia="仿宋" w:cs="Times New Roman"/>
                <w:color w:val="auto"/>
                <w:sz w:val="20"/>
                <w:szCs w:val="20"/>
                <w:highlight w:val="none"/>
                <w:u w:val="none"/>
              </w:rPr>
              <w:t>《农安县人民政府关于划定高污染燃料禁燃区的通告》</w:t>
            </w:r>
            <w:r>
              <w:rPr>
                <w:rFonts w:ascii="Times New Roman" w:hAnsi="Times New Roman" w:eastAsia="仿宋" w:cs="Times New Roman"/>
                <w:color w:val="auto"/>
                <w:sz w:val="20"/>
                <w:szCs w:val="20"/>
                <w:highlight w:val="none"/>
                <w:u w:val="none"/>
              </w:rPr>
              <w:t>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8"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ZH22012230001</w:t>
            </w:r>
          </w:p>
        </w:tc>
        <w:tc>
          <w:tcPr>
            <w:tcW w:w="528"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农安县一般管控区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3-一般管控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3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注：吉林扶余洪泛湿地省级自然保护区面积为0.0004平方千米，占比0.005%，各地区部门间联合管控。</w:t>
      </w:r>
    </w:p>
    <w:p>
      <w:pPr>
        <w:jc w:val="both"/>
        <w:rPr>
          <w:rFonts w:ascii="Times New Roman" w:hAnsi="Times New Roman" w:eastAsia="仿宋" w:cs="Times New Roman"/>
          <w:b/>
          <w:color w:val="auto"/>
          <w:highlight w:val="none"/>
          <w:u w:val="none"/>
        </w:rPr>
      </w:pPr>
    </w:p>
    <w:p>
      <w:pPr>
        <w:keepNext/>
        <w:keepLines/>
        <w:outlineLvl w:val="1"/>
        <w:rPr>
          <w:rFonts w:ascii="Times New Roman" w:hAnsi="Times New Roman" w:eastAsia="仿宋" w:cs="Times New Roman"/>
          <w:b/>
          <w:bCs/>
          <w:color w:val="auto"/>
          <w:sz w:val="32"/>
          <w:szCs w:val="32"/>
          <w:highlight w:val="none"/>
          <w:u w:val="none"/>
        </w:rPr>
      </w:pPr>
      <w:bookmarkStart w:id="50" w:name="_Toc14800"/>
      <w:bookmarkStart w:id="51" w:name="_Toc10589"/>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九</w:t>
      </w:r>
      <w:r>
        <w:rPr>
          <w:rFonts w:ascii="Times New Roman" w:hAnsi="Times New Roman" w:eastAsia="仿宋" w:cs="Times New Roman"/>
          <w:b/>
          <w:bCs/>
          <w:color w:val="auto"/>
          <w:sz w:val="32"/>
          <w:szCs w:val="32"/>
          <w:highlight w:val="none"/>
          <w:u w:val="none"/>
        </w:rPr>
        <w:t>）长春市榆树市</w:t>
      </w:r>
      <w:bookmarkEnd w:id="47"/>
      <w:r>
        <w:rPr>
          <w:rFonts w:ascii="Times New Roman" w:hAnsi="Times New Roman" w:eastAsia="仿宋" w:cs="Times New Roman"/>
          <w:b/>
          <w:bCs/>
          <w:color w:val="auto"/>
          <w:sz w:val="32"/>
          <w:szCs w:val="32"/>
          <w:highlight w:val="none"/>
          <w:u w:val="none"/>
        </w:rPr>
        <w:t>生态环境准入清单</w:t>
      </w:r>
      <w:bookmarkEnd w:id="50"/>
      <w:bookmarkEnd w:id="51"/>
    </w:p>
    <w:p>
      <w:pPr>
        <w:jc w:val="center"/>
        <w:rPr>
          <w:rFonts w:ascii="Times New Roman" w:hAnsi="Times New Roman" w:eastAsia="仿宋" w:cs="Times New Roman"/>
          <w:b/>
          <w:color w:val="auto"/>
          <w:highlight w:val="none"/>
          <w:u w:val="none"/>
        </w:rPr>
      </w:pPr>
      <w:bookmarkStart w:id="52" w:name="_Toc27572347"/>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3-9</w:t>
      </w:r>
      <w:r>
        <w:rPr>
          <w:rFonts w:ascii="Times New Roman" w:hAnsi="Times New Roman" w:eastAsia="仿宋" w:cs="Times New Roman"/>
          <w:b/>
          <w:color w:val="auto"/>
          <w:highlight w:val="none"/>
          <w:u w:val="none"/>
        </w:rPr>
        <w:t>-1长春市榆树市区域特征研判</w:t>
      </w:r>
      <w:bookmarkEnd w:id="52"/>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《吉林省主体功能区规划》中的农产品主产区。</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榆树市</w:t>
            </w:r>
            <w:r>
              <w:rPr>
                <w:rFonts w:ascii="Times New Roman" w:hAnsi="Times New Roman" w:eastAsia="仿宋" w:cs="Times New Roman"/>
                <w:color w:val="auto"/>
                <w:kern w:val="0"/>
                <w:szCs w:val="21"/>
                <w:highlight w:val="none"/>
                <w:u w:val="none"/>
              </w:rPr>
              <w:t>总面积为4712平方千米，辖1个省级开发区，24个乡镇、4个街道办事处。</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建设哈长城市群区域性中心城市。</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部分地表水体超标；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草场退化、沙化和土壤盐化。</w:t>
            </w:r>
          </w:p>
          <w:p>
            <w:pPr>
              <w:rPr>
                <w:rFonts w:ascii="Times New Roman" w:hAnsi="Times New Roman" w:eastAsia="仿宋" w:cs="Times New Roman"/>
                <w:color w:val="auto"/>
                <w:kern w:val="0"/>
                <w:szCs w:val="21"/>
                <w:highlight w:val="none"/>
                <w:u w:val="none"/>
              </w:rPr>
            </w:pP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1.重点保护</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国家级公益林、吉林榆树花园山省级森林公园、黑土地资源</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2.重点解决问题</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（1）改善区域水环境。</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w:t>
            </w:r>
            <w:r>
              <w:rPr>
                <w:rFonts w:hint="eastAsia" w:ascii="Times New Roman" w:hAnsi="Times New Roman" w:eastAsia="仿宋" w:cs="Times New Roman"/>
                <w:color w:val="auto"/>
                <w:kern w:val="0"/>
                <w:szCs w:val="21"/>
                <w:highlight w:val="none"/>
                <w:u w:val="none"/>
              </w:rPr>
              <w:t>2</w:t>
            </w:r>
            <w:r>
              <w:rPr>
                <w:rFonts w:ascii="Times New Roman" w:hAnsi="Times New Roman" w:eastAsia="仿宋" w:cs="Times New Roman"/>
                <w:color w:val="auto"/>
                <w:kern w:val="0"/>
                <w:szCs w:val="21"/>
                <w:highlight w:val="none"/>
                <w:u w:val="none"/>
              </w:rPr>
              <w:t>）确保人类开发活动不挤占耕地。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w:t>
            </w:r>
            <w:r>
              <w:rPr>
                <w:rFonts w:hint="eastAsia" w:ascii="Times New Roman" w:hAnsi="Times New Roman" w:eastAsia="仿宋" w:cs="Times New Roman"/>
                <w:color w:val="auto"/>
                <w:kern w:val="0"/>
                <w:szCs w:val="21"/>
                <w:highlight w:val="none"/>
                <w:u w:val="none"/>
              </w:rPr>
              <w:t>3</w:t>
            </w:r>
            <w:r>
              <w:rPr>
                <w:rFonts w:ascii="Times New Roman" w:hAnsi="Times New Roman" w:eastAsia="仿宋" w:cs="Times New Roman"/>
                <w:color w:val="auto"/>
                <w:kern w:val="0"/>
                <w:szCs w:val="21"/>
                <w:highlight w:val="none"/>
                <w:u w:val="none"/>
              </w:rPr>
              <w:t>）减少生产建设活动对植被、地表的破坏。</w:t>
            </w:r>
          </w:p>
        </w:tc>
      </w:tr>
    </w:tbl>
    <w:p>
      <w:pPr>
        <w:pStyle w:val="19"/>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szCs w:val="21"/>
          <w:highlight w:val="none"/>
          <w:u w:val="none"/>
        </w:rPr>
      </w:pPr>
      <w:bookmarkStart w:id="53" w:name="_Toc27572348"/>
      <w:r>
        <w:rPr>
          <w:rFonts w:ascii="Times New Roman" w:hAnsi="Times New Roman" w:eastAsia="仿宋" w:cs="Times New Roman"/>
          <w:b/>
          <w:color w:val="auto"/>
          <w:szCs w:val="21"/>
          <w:highlight w:val="none"/>
          <w:u w:val="none"/>
        </w:rPr>
        <w:t>表</w:t>
      </w:r>
      <w:r>
        <w:rPr>
          <w:rFonts w:hint="eastAsia" w:ascii="Times New Roman" w:hAnsi="Times New Roman" w:eastAsia="仿宋" w:cs="Times New Roman"/>
          <w:b/>
          <w:color w:val="auto"/>
          <w:szCs w:val="21"/>
          <w:highlight w:val="none"/>
          <w:u w:val="none"/>
          <w:lang w:val="en-US" w:eastAsia="zh-CN"/>
        </w:rPr>
        <w:t>3-9</w:t>
      </w:r>
      <w:r>
        <w:rPr>
          <w:rFonts w:ascii="Times New Roman" w:hAnsi="Times New Roman" w:eastAsia="仿宋" w:cs="Times New Roman"/>
          <w:b/>
          <w:color w:val="auto"/>
          <w:szCs w:val="21"/>
          <w:highlight w:val="none"/>
          <w:u w:val="none"/>
        </w:rPr>
        <w:t>-2长春市榆树市生态环境准入清单</w:t>
      </w:r>
      <w:bookmarkEnd w:id="53"/>
    </w:p>
    <w:tbl>
      <w:tblPr>
        <w:tblStyle w:val="20"/>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1"/>
        <w:gridCol w:w="2018"/>
        <w:gridCol w:w="1586"/>
        <w:gridCol w:w="1717"/>
        <w:gridCol w:w="2060"/>
        <w:gridCol w:w="7919"/>
        <w:gridCol w:w="39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trPr>
        <w:tc>
          <w:tcPr>
            <w:tcW w:w="447"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477"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375"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359"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34"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ZH22018210001</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吉林榆树花园山省级森林公园</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ZH22018210002</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榆树市国家级公益林</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2国家级公益林执行</w:t>
            </w:r>
            <w:r>
              <w:rPr>
                <w:rFonts w:hint="eastAsia" w:ascii="Times New Roman" w:hAnsi="Times New Roman" w:eastAsia="仿宋" w:cs="Times New Roman"/>
                <w:color w:val="auto"/>
                <w:sz w:val="20"/>
                <w:szCs w:val="20"/>
                <w:highlight w:val="none"/>
                <w:u w:val="none"/>
              </w:rPr>
              <w:t>《国家级公益林管理办法》（2017年修订）</w:t>
            </w:r>
            <w:r>
              <w:rPr>
                <w:rFonts w:ascii="Times New Roman" w:hAnsi="Times New Roman" w:eastAsia="仿宋" w:cs="Times New Roman"/>
                <w:color w:val="auto"/>
                <w:sz w:val="20"/>
                <w:szCs w:val="20"/>
                <w:highlight w:val="none"/>
                <w:u w:val="none"/>
              </w:rPr>
              <w:t>相关要求。</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ZH22018210003</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榆树市黑土地保护区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ZH22018210004</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榆树市水源涵养功能重要区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2禁止各种损害生态系统水源涵养功能的经济社会活动和生产方式，如无序采矿、毁林开荒、湿地和草地开垦、过度放牧等。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3禁止导致水体污染的产业发展。</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5禁止在沙化土地上砍挖灌木、药材及其他固沙植物。在沙化土地封禁保护区范围内，禁止一切破坏植被的活动。禁止在沙化土地封禁保护区范围内安置移民。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6原则上不再新建各类产业园区，严禁随意扩大现有产业园区范围。以工业为主的产业园区应加快完成园区的循环化改造，鼓励推进低消耗、可循环、少排放的生态型工业区建设。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7</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8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水源涵养、防风固沙、生物多样性、黑土地保护区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ZH22018210005</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榆树市防风固沙重要区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6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防风固沙、水土流失、黑土地保护区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ZH22018210006</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榆树市水土流失敏感区</w:t>
            </w:r>
          </w:p>
        </w:tc>
        <w:tc>
          <w:tcPr>
            <w:tcW w:w="375"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ZH22018220001</w:t>
            </w:r>
          </w:p>
        </w:tc>
        <w:tc>
          <w:tcPr>
            <w:tcW w:w="47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长春榆树经济开发区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487" w:type="pct"/>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8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原长春五棵树经济开发区</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4重点发展以生物化工、医药化工、绿色食品、资源综合利用为主导，以仓储、加工、展销为配套构建产业发展体系。</w:t>
            </w:r>
          </w:p>
        </w:tc>
        <w:tc>
          <w:tcPr>
            <w:tcW w:w="934"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 xml:space="preserve">经济快速发展，基础设施与公共服务设施高度完善，景观独具特色，环境良好，经济可持续发展的工业新区。 </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生物化工、医药化工、绿色食品、资源综合利用、新能源产业、氢能产业、农副食品加工业、食品制造业、酒、饮料和精制茶制造业，建材、机械制造业。以仓储物流、加工、展销及商服为配套构建产业发展体系</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原榆树环城工业集中区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4重点发展农副产品加工业、建材、机械制造、仓储物流及商服配套设施等。</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8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原长春五棵树经济开发区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原榆树环城工业集中区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禁止引入的项目：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①农副产品加工产业：以野外资源为原料的珍贵濒危野生动植物加工，不符合国家规划及产业政策的粮食转化乙醇、食用植物油料转化生物燃料项目；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②新型建材产业：在现有技术下废水较难处理的项目；粘土空心砖生产线、水泥、粉磨项目；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③机械装备制造产业：在现有技术下废水较难处理的项目；单缸柴油机制造项目、以氯氟烃（CFCs）作为膨胀剂的烟丝膨胀设备生产线；</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④仓储物流产业：危险化学品仓储物流项目等；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建成区原则上不再新建单台容量29兆瓦（40蒸吨/小时）以下燃煤锅炉，其他区域原则上不再新建单台容量14兆瓦（20蒸吨/小时）以下的燃煤锅炉。</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4"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8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原长春五棵树经济开发区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p>
            <w:pPr>
              <w:rPr>
                <w:color w:val="auto"/>
                <w:highlight w:val="none"/>
                <w:u w:val="none"/>
              </w:rPr>
            </w:pPr>
            <w:r>
              <w:rPr>
                <w:rFonts w:ascii="Times New Roman" w:hAnsi="Times New Roman" w:eastAsia="仿宋" w:cs="Times New Roman"/>
                <w:color w:val="auto"/>
                <w:kern w:val="0"/>
                <w:szCs w:val="21"/>
                <w:highlight w:val="none"/>
                <w:u w:val="none"/>
              </w:rPr>
              <w:t>3限制低于《高耗能行业重点领域能效标杆水平和基准水平（2021年版）》中标杆水平的项目。</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4"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原榆树环城工业集中区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p>
            <w:pPr>
              <w:rPr>
                <w:color w:val="auto"/>
                <w:highlight w:val="none"/>
                <w:u w:val="none"/>
              </w:rPr>
            </w:pPr>
            <w:r>
              <w:rPr>
                <w:rFonts w:ascii="Times New Roman" w:hAnsi="Times New Roman" w:eastAsia="仿宋" w:cs="Times New Roman"/>
                <w:color w:val="auto"/>
                <w:kern w:val="0"/>
                <w:szCs w:val="21"/>
                <w:highlight w:val="none"/>
                <w:u w:val="none"/>
              </w:rPr>
              <w:t>3限制引入的项目：限制引入的项目：①异味产生量大，环境影响不可接受的生产项目；②废水排放量不满足行业单位产品基准排水量的生产项目；③含难以降噪的高噪声设备的生产项目；④玻璃及玻璃制品制造进入新型建材产业园区⑤生物化工、生物医药经论证后可允许进入农副产品加工产业园区的生物能源集中发展区；⑥废气污染相对较大的行业。</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0"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487"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1在充分落实环保措施、对周围环境影响可接受的前提下，允许不符合空间布局的现有项目进行改扩建工程；</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p>
            <w:pPr>
              <w:rPr>
                <w:color w:val="auto"/>
                <w:highlight w:val="none"/>
                <w:u w:val="none"/>
              </w:rPr>
            </w:pPr>
            <w:r>
              <w:rPr>
                <w:rFonts w:ascii="Times New Roman" w:hAnsi="Times New Roman" w:eastAsia="仿宋" w:cs="Times New Roman"/>
                <w:color w:val="auto"/>
                <w:kern w:val="0"/>
                <w:szCs w:val="21"/>
                <w:highlight w:val="none"/>
                <w:u w:val="none"/>
              </w:rPr>
              <w:t>3现有不符合开发区产业发展方向和环境保护要求的企业应逐步升级改造或搬迁、淘汰；尽快制定拆除搬迁方案，明确搬迁时限。</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48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列入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47" w:type="pct"/>
            <w:vMerge w:val="continue"/>
            <w:shd w:val="clear" w:color="auto" w:fill="auto"/>
            <w:vAlign w:val="center"/>
          </w:tcPr>
          <w:p>
            <w:pPr>
              <w:rPr>
                <w:color w:val="auto"/>
                <w:highlight w:val="none"/>
                <w:u w:val="none"/>
              </w:rPr>
            </w:pPr>
          </w:p>
        </w:tc>
        <w:tc>
          <w:tcPr>
            <w:tcW w:w="477" w:type="pct"/>
            <w:vMerge w:val="continue"/>
            <w:shd w:val="clear" w:color="auto" w:fill="auto"/>
            <w:vAlign w:val="center"/>
          </w:tcPr>
          <w:p>
            <w:pPr>
              <w:rPr>
                <w:color w:val="auto"/>
                <w:highlight w:val="none"/>
                <w:u w:val="none"/>
              </w:rPr>
            </w:pPr>
          </w:p>
        </w:tc>
        <w:tc>
          <w:tcPr>
            <w:tcW w:w="375"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7"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87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3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447" w:type="pct"/>
            <w:vMerge w:val="continue"/>
            <w:shd w:val="clear" w:color="auto" w:fill="auto"/>
            <w:vAlign w:val="center"/>
          </w:tcPr>
          <w:p>
            <w:pPr>
              <w:rPr>
                <w:color w:val="auto"/>
                <w:highlight w:val="none"/>
                <w:u w:val="none"/>
              </w:rPr>
            </w:pPr>
          </w:p>
        </w:tc>
        <w:tc>
          <w:tcPr>
            <w:tcW w:w="477" w:type="pct"/>
            <w:vMerge w:val="continue"/>
            <w:shd w:val="clear" w:color="auto" w:fill="auto"/>
            <w:vAlign w:val="center"/>
          </w:tcPr>
          <w:p>
            <w:pPr>
              <w:rPr>
                <w:color w:val="auto"/>
                <w:highlight w:val="none"/>
                <w:u w:val="none"/>
              </w:rPr>
            </w:pPr>
          </w:p>
        </w:tc>
        <w:tc>
          <w:tcPr>
            <w:tcW w:w="375"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7"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872"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3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环境风险防控</w:t>
            </w:r>
          </w:p>
        </w:tc>
        <w:tc>
          <w:tcPr>
            <w:tcW w:w="48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trPr>
        <w:tc>
          <w:tcPr>
            <w:tcW w:w="447" w:type="pct"/>
            <w:vMerge w:val="continue"/>
            <w:shd w:val="clear" w:color="auto" w:fill="auto"/>
            <w:vAlign w:val="center"/>
          </w:tcPr>
          <w:p>
            <w:pPr>
              <w:rPr>
                <w:color w:val="auto"/>
                <w:highlight w:val="none"/>
                <w:u w:val="none"/>
              </w:rPr>
            </w:pPr>
          </w:p>
        </w:tc>
        <w:tc>
          <w:tcPr>
            <w:tcW w:w="477" w:type="pct"/>
            <w:vMerge w:val="continue"/>
            <w:shd w:val="clear" w:color="auto" w:fill="auto"/>
            <w:vAlign w:val="center"/>
          </w:tcPr>
          <w:p>
            <w:pPr>
              <w:rPr>
                <w:color w:val="auto"/>
                <w:highlight w:val="none"/>
                <w:u w:val="none"/>
              </w:rPr>
            </w:pPr>
          </w:p>
        </w:tc>
        <w:tc>
          <w:tcPr>
            <w:tcW w:w="375"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7"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3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trPr>
        <w:tc>
          <w:tcPr>
            <w:tcW w:w="447" w:type="pct"/>
            <w:vMerge w:val="continue"/>
            <w:shd w:val="clear" w:color="auto" w:fill="auto"/>
            <w:vAlign w:val="center"/>
          </w:tcPr>
          <w:p>
            <w:pPr>
              <w:rPr>
                <w:color w:val="auto"/>
                <w:highlight w:val="none"/>
                <w:u w:val="none"/>
              </w:rPr>
            </w:pPr>
          </w:p>
        </w:tc>
        <w:tc>
          <w:tcPr>
            <w:tcW w:w="477" w:type="pct"/>
            <w:vMerge w:val="continue"/>
            <w:shd w:val="clear" w:color="auto" w:fill="auto"/>
            <w:vAlign w:val="center"/>
          </w:tcPr>
          <w:p>
            <w:pPr>
              <w:rPr>
                <w:color w:val="auto"/>
                <w:highlight w:val="none"/>
                <w:u w:val="none"/>
              </w:rPr>
            </w:pPr>
          </w:p>
        </w:tc>
        <w:tc>
          <w:tcPr>
            <w:tcW w:w="375" w:type="pct"/>
            <w:vMerge w:val="continue"/>
            <w:tcBorders>
              <w:right w:val="single" w:color="auto" w:sz="4" w:space="0"/>
            </w:tcBorders>
            <w:shd w:val="clear" w:color="auto" w:fill="auto"/>
            <w:vAlign w:val="center"/>
          </w:tcPr>
          <w:p>
            <w:pPr>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487"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87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34"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060" w:type="dxa"/>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7919" w:type="dxa"/>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原长春五棵树经济开发区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60" w:type="dxa"/>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7919" w:type="dxa"/>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原榆树环城工业集中区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 集中区按照串联用水，分质用水、一水多用和循环利用的原则，提高水资源利用率，建设节水型集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60"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919"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60"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919"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7" w:type="pct"/>
            <w:vMerge w:val="continue"/>
            <w:shd w:val="clear" w:color="auto" w:fill="auto"/>
            <w:vAlign w:val="center"/>
          </w:tcPr>
          <w:p>
            <w:pPr>
              <w:jc w:val="left"/>
              <w:rPr>
                <w:color w:val="auto"/>
                <w:highlight w:val="none"/>
                <w:u w:val="none"/>
              </w:rPr>
            </w:pPr>
          </w:p>
        </w:tc>
        <w:tc>
          <w:tcPr>
            <w:tcW w:w="477" w:type="pct"/>
            <w:vMerge w:val="continue"/>
            <w:shd w:val="clear" w:color="auto" w:fill="auto"/>
            <w:vAlign w:val="center"/>
          </w:tcPr>
          <w:p>
            <w:pPr>
              <w:jc w:val="left"/>
              <w:rPr>
                <w:color w:val="auto"/>
                <w:highlight w:val="none"/>
                <w:u w:val="none"/>
              </w:rPr>
            </w:pPr>
          </w:p>
        </w:tc>
        <w:tc>
          <w:tcPr>
            <w:tcW w:w="375" w:type="pct"/>
            <w:vMerge w:val="continue"/>
            <w:tcBorders>
              <w:right w:val="single" w:color="auto" w:sz="4" w:space="0"/>
            </w:tcBorders>
            <w:shd w:val="clear" w:color="auto" w:fill="auto"/>
            <w:vAlign w:val="center"/>
          </w:tcPr>
          <w:p>
            <w:pPr>
              <w:jc w:val="left"/>
              <w:rPr>
                <w:color w:val="auto"/>
                <w:highlight w:val="none"/>
                <w:u w:val="none"/>
              </w:rPr>
            </w:pPr>
          </w:p>
        </w:tc>
        <w:tc>
          <w:tcPr>
            <w:tcW w:w="406"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060"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919"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不涉及禁燃区。</w:t>
            </w:r>
          </w:p>
        </w:tc>
        <w:tc>
          <w:tcPr>
            <w:tcW w:w="934"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ZH22018220002</w:t>
            </w:r>
          </w:p>
        </w:tc>
        <w:tc>
          <w:tcPr>
            <w:tcW w:w="477"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榆树市城镇开发边界</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大气环境受体敏感重点管控区、水环境城镇生活污染重点管控区、水环境质量不达标重点管控区、建设用地污染风险重点管控区、高污染燃料禁燃区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发展定位：</w:t>
            </w:r>
            <w:r>
              <w:rPr>
                <w:rFonts w:ascii="Times New Roman" w:hAnsi="Times New Roman" w:eastAsia="仿宋" w:cs="Times New Roman"/>
                <w:bCs/>
                <w:color w:val="auto"/>
                <w:kern w:val="0"/>
                <w:sz w:val="20"/>
                <w:szCs w:val="20"/>
                <w:highlight w:val="none"/>
                <w:u w:val="none"/>
              </w:rPr>
              <w:t>深入实施“一主三线五基”发展战略（即建设哈长城市群区域性中心城市；农业立市、工业强市、服务业兴市；国家现代农业示范基地、国家农产品加工基地、中国（榆树）北方酒业基地、中国北方蔬菜生产基地、中国北方现代商贸物流基地）</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《关于开展畜禽养殖禁养区划定工作的通知》《畜禽规模养殖污染防治条例》</w:t>
            </w:r>
            <w:r>
              <w:rPr>
                <w:rFonts w:ascii="Times New Roman" w:hAnsi="Times New Roman" w:eastAsia="仿宋" w:cs="Times New Roman"/>
                <w:bCs/>
                <w:color w:val="auto"/>
                <w:kern w:val="0"/>
                <w:sz w:val="20"/>
                <w:szCs w:val="20"/>
                <w:highlight w:val="none"/>
                <w:u w:val="none"/>
              </w:rPr>
              <w:t>《中共吉林省委 吉林省人民政府关于深入打好污染防治攻坚战的实施意见》《吉林省减污降碳协同增效实施方案》《吉林省 “十四五”节能减排综合实施方案》</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榆树市</w:t>
            </w:r>
            <w:r>
              <w:rPr>
                <w:rFonts w:hint="eastAsia" w:ascii="Times New Roman" w:hAnsi="Times New Roman" w:eastAsia="仿宋" w:cs="Times New Roman"/>
                <w:bCs/>
                <w:color w:val="auto"/>
                <w:kern w:val="0"/>
                <w:sz w:val="20"/>
                <w:szCs w:val="20"/>
                <w:highlight w:val="none"/>
                <w:u w:val="none"/>
              </w:rPr>
              <w:t>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2未完成水环境质量改善目标要求的地区，暂停审批新增重点水污染物排放总量的建设项目。新建、改建、扩建重点行业建设项目应提出有效的区域削减方案，主要污染物实行区域倍量削减。</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长春市人民政府关于划定高污染燃料禁燃区的通告》执行；禁燃区内禁止新建、扩建单台额定功率20蒸吨/小时（14MW/小时）以下燃用高污染燃料的锅炉、窑炉等燃烧设施；在集中供热管网或燃气管网覆盖范围内的单台出力小于20蒸吨/小时（14MW/小时）的锅炉、窑炉等燃用髙污染燃料设施，应当改用集中供热或者改用天然气、电等清洁能源；未在集中供热管网或燃气管网覆盖范围内的，可以改用生物质成型燃料或其他清洁能源。</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ZH22018220003</w:t>
            </w:r>
          </w:p>
        </w:tc>
        <w:tc>
          <w:tcPr>
            <w:tcW w:w="47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榆树市大气环境高排放重点管控区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ZH22018220004</w:t>
            </w:r>
          </w:p>
        </w:tc>
        <w:tc>
          <w:tcPr>
            <w:tcW w:w="477"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榆树市大气环境弱扩散重点管控区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大气环境弱扩散重点管控区、水环境质量不达标重点管控区、水环境风险重点管控区、水环境农业污染重点管控区、建设用地污染风险重点管控区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1深入推进秸秆禁烧管控，实行秸秆全域禁烧。加快淘汰老旧车辆；强化道路扬尘控制。</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2实施化肥农药减量增效行动和农膜回收行动；采取积极措施，推进养殖业大气氨减排。</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3规模化畜禽养殖场（小区）应当保证畜禽粪污无害化处理和资源化利用设施的正常运转。散养密集区要实行畜禽粪便污水分户收集、集中处理利用。</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4未完成水环境质量改善目标要求的地区，暂停审批新增重点水污染物排放总量的建设项目。新建、改建、扩建重点行业建设项目应提出有效的区域削减方案，主要污染物实行区域倍量削减。</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77"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3研究建立统筹水环境、水资源和水生态监测评价体系，对重要江河湖库开展水生态环境评价预警。</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ZH22018220005</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榆树市水环境农业污染重点管控区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规模化畜禽养殖场（小区）应当保证畜禽粪污无害化处理和资源化利用设施的正常运转。散养密集区要实行畜禽粪便污水分户收集、集中处理利用。</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水环境农业污染重点管控区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ZH22018220006</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榆树市水环境质量不达标重点管控区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未完成水环境质量改善目标要求的地区，暂停审批新增重点水污染物排放总量的建设项目。新建、改建、扩建重点行业建设项目应提出有效的区域削减方案，主要污染物实行区域倍量削减。</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水环境质量不达标重点管控区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ZH22018220007</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榆树市水环境风险重点管控区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1研究建立统筹水环境、水资源和水生态监测评价体系，对重要江河湖库开展水生态环境评价预警。</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2建设和完善城乡污水处理设施及配套管网工程，定期排查和不定期抽查工业企业排污情况。加强污水管网提升改造建设，提高城镇生活污水集中处理率。</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水环境风险重点管控区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 xml:space="preserve">基于“三线”研究成果提出，《吉林省“十四五” 重点流域水生态环境保护规划》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ZH22018230001</w:t>
            </w:r>
          </w:p>
        </w:tc>
        <w:tc>
          <w:tcPr>
            <w:tcW w:w="477"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榆树市一般管控区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59"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jc w:val="center"/>
        <w:rPr>
          <w:rFonts w:ascii="Times New Roman" w:hAnsi="Times New Roman" w:eastAsia="仿宋" w:cs="Times New Roman"/>
          <w:color w:val="auto"/>
          <w:highlight w:val="none"/>
          <w:u w:val="none"/>
        </w:rPr>
      </w:pPr>
    </w:p>
    <w:p>
      <w:pPr>
        <w:rPr>
          <w:rFonts w:ascii="Times New Roman" w:hAnsi="Times New Roman" w:eastAsia="仿宋" w:cs="Times New Roman"/>
          <w:color w:val="auto"/>
          <w:szCs w:val="24"/>
          <w:highlight w:val="none"/>
          <w:u w:val="none"/>
        </w:rPr>
      </w:pPr>
    </w:p>
    <w:p>
      <w:pPr>
        <w:keepNext/>
        <w:keepLines/>
        <w:outlineLvl w:val="1"/>
        <w:rPr>
          <w:rFonts w:ascii="Times New Roman" w:hAnsi="Times New Roman" w:eastAsia="仿宋" w:cs="Times New Roman"/>
          <w:b/>
          <w:bCs/>
          <w:color w:val="auto"/>
          <w:sz w:val="32"/>
          <w:szCs w:val="32"/>
          <w:highlight w:val="none"/>
          <w:u w:val="none"/>
        </w:rPr>
      </w:pPr>
      <w:bookmarkStart w:id="54" w:name="_Toc10404"/>
      <w:bookmarkStart w:id="55" w:name="_Toc720"/>
      <w:r>
        <w:rPr>
          <w:rFonts w:ascii="Times New Roman" w:hAnsi="Times New Roman" w:eastAsia="仿宋" w:cs="Times New Roman"/>
          <w:b/>
          <w:bCs/>
          <w:color w:val="auto"/>
          <w:sz w:val="32"/>
          <w:szCs w:val="32"/>
          <w:highlight w:val="none"/>
          <w:u w:val="none"/>
        </w:rPr>
        <w:t>（</w:t>
      </w:r>
      <w:r>
        <w:rPr>
          <w:rFonts w:hint="eastAsia" w:ascii="Times New Roman" w:hAnsi="Times New Roman" w:eastAsia="仿宋" w:cs="Times New Roman"/>
          <w:b/>
          <w:bCs/>
          <w:color w:val="auto"/>
          <w:sz w:val="32"/>
          <w:szCs w:val="32"/>
          <w:highlight w:val="none"/>
          <w:u w:val="none"/>
        </w:rPr>
        <w:t>十</w:t>
      </w:r>
      <w:r>
        <w:rPr>
          <w:rFonts w:ascii="Times New Roman" w:hAnsi="Times New Roman" w:eastAsia="仿宋" w:cs="Times New Roman"/>
          <w:b/>
          <w:bCs/>
          <w:color w:val="auto"/>
          <w:sz w:val="32"/>
          <w:szCs w:val="32"/>
          <w:highlight w:val="none"/>
          <w:u w:val="none"/>
        </w:rPr>
        <w:t>）长春市德惠市</w:t>
      </w:r>
      <w:bookmarkEnd w:id="27"/>
      <w:r>
        <w:rPr>
          <w:rFonts w:ascii="Times New Roman" w:hAnsi="Times New Roman" w:eastAsia="仿宋" w:cs="Times New Roman"/>
          <w:b/>
          <w:bCs/>
          <w:color w:val="auto"/>
          <w:sz w:val="32"/>
          <w:szCs w:val="32"/>
          <w:highlight w:val="none"/>
          <w:u w:val="none"/>
        </w:rPr>
        <w:t>生态环境准入清单</w:t>
      </w:r>
      <w:bookmarkEnd w:id="54"/>
      <w:bookmarkEnd w:id="55"/>
    </w:p>
    <w:p>
      <w:pPr>
        <w:jc w:val="center"/>
        <w:rPr>
          <w:rFonts w:ascii="Times New Roman" w:hAnsi="Times New Roman" w:eastAsia="仿宋" w:cs="Times New Roman"/>
          <w:b/>
          <w:color w:val="auto"/>
          <w:highlight w:val="none"/>
          <w:u w:val="none"/>
        </w:rPr>
      </w:pPr>
      <w:bookmarkStart w:id="56" w:name="_Toc27572323"/>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3-10</w:t>
      </w:r>
      <w:r>
        <w:rPr>
          <w:rFonts w:ascii="Times New Roman" w:hAnsi="Times New Roman" w:eastAsia="仿宋" w:cs="Times New Roman"/>
          <w:b/>
          <w:color w:val="auto"/>
          <w:highlight w:val="none"/>
          <w:u w:val="none"/>
        </w:rPr>
        <w:t>-1长春市德惠市区域特征研判</w:t>
      </w:r>
      <w:bookmarkEnd w:id="56"/>
    </w:p>
    <w:tbl>
      <w:tblPr>
        <w:tblStyle w:val="2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highlight w:val="none"/>
                <w:u w:val="none"/>
              </w:rPr>
            </w:pPr>
            <w:r>
              <w:rPr>
                <w:rFonts w:ascii="Times New Roman" w:hAnsi="Times New Roman" w:eastAsia="仿宋" w:cs="Times New Roman"/>
                <w:b/>
                <w:color w:val="auto"/>
                <w:kern w:val="0"/>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highlight w:val="none"/>
                <w:u w:val="none"/>
              </w:rPr>
            </w:pPr>
            <w:r>
              <w:rPr>
                <w:rFonts w:ascii="Times New Roman" w:hAnsi="Times New Roman" w:eastAsia="仿宋" w:cs="Times New Roman"/>
                <w:b/>
                <w:color w:val="auto"/>
                <w:kern w:val="0"/>
                <w:highlight w:val="none"/>
                <w:u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highlight w:val="none"/>
                <w:u w:val="none"/>
              </w:rPr>
            </w:pPr>
            <w:r>
              <w:rPr>
                <w:rFonts w:ascii="Times New Roman" w:hAnsi="Times New Roman" w:eastAsia="仿宋" w:cs="Times New Roman"/>
                <w:b/>
                <w:color w:val="auto"/>
                <w:kern w:val="0"/>
                <w:highlight w:val="none"/>
                <w:u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highlight w:val="none"/>
                <w:u w:val="none"/>
              </w:rPr>
            </w:pPr>
            <w:r>
              <w:rPr>
                <w:rFonts w:ascii="Times New Roman" w:hAnsi="Times New Roman" w:eastAsia="仿宋" w:cs="Times New Roman"/>
                <w:b/>
                <w:color w:val="auto"/>
                <w:kern w:val="0"/>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《吉林省主体功能区规划》中的农产品主产区。</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德惠总面积3322平方公里，辖12个镇、4个乡、4个街道办事处。</w:t>
            </w:r>
          </w:p>
          <w:p>
            <w:pPr>
              <w:rPr>
                <w:rFonts w:ascii="Times New Roman" w:hAnsi="Times New Roman" w:eastAsia="仿宋" w:cs="Times New Roman"/>
                <w:color w:val="auto"/>
                <w:kern w:val="0"/>
                <w:highlight w:val="none"/>
                <w:u w:val="none"/>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抢抓国家确定的“哈长地区逐步发展形成城市群”的机遇，依托哈大复合交通走廊构建的一级城镇经济发展轴，不断完善和提升整体功能，打造现代高品质新型产业高地，强势推进城乡建设，建设成为哈长城市群重要节点城市。</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立足丰富的农畜产品资源，依托现有龙头企业，弘扬绿色、安全、营养、健康理念，加大农产品品牌培育力度，生产更多绿色、有机、生态食品，扩大市场份额，建设成为全国知名绿色食品生态城。</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立足资源条件和产业基础，以国能生物发电等项目为依托，大力发展秸秆造纸、秸秆发电、环保建材等生态环保产业，实现产业之间低碳环保模式的经济循环，建设成为全省低碳循环经济发展示范城。</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沙化和土壤盐化；</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畜禽养殖污染。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1.重点保护：黑土地资源，吉林大白水省级湿地自然公园，国家级公益林</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2.重点解决问题</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（1）确保人类开发活动不挤占耕地。</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w:t>
            </w:r>
            <w:r>
              <w:rPr>
                <w:rFonts w:hint="eastAsia" w:ascii="Times New Roman" w:hAnsi="Times New Roman" w:eastAsia="仿宋" w:cs="Times New Roman"/>
                <w:bCs/>
                <w:color w:val="auto"/>
                <w:kern w:val="0"/>
                <w:highlight w:val="none"/>
                <w:u w:val="none"/>
              </w:rPr>
              <w:t>2</w:t>
            </w:r>
            <w:r>
              <w:rPr>
                <w:rFonts w:ascii="Times New Roman" w:hAnsi="Times New Roman" w:eastAsia="仿宋" w:cs="Times New Roman"/>
                <w:bCs/>
                <w:color w:val="auto"/>
                <w:kern w:val="0"/>
                <w:highlight w:val="none"/>
                <w:u w:val="none"/>
              </w:rPr>
              <w:t>）加强沙地、盐碱地的修复和保护</w:t>
            </w:r>
          </w:p>
          <w:p>
            <w:pPr>
              <w:rPr>
                <w:rFonts w:ascii="Times New Roman" w:hAnsi="Times New Roman" w:eastAsia="仿宋" w:cs="Times New Roman"/>
                <w:bCs/>
                <w:color w:val="auto"/>
                <w:kern w:val="0"/>
                <w:highlight w:val="none"/>
                <w:u w:val="none"/>
              </w:rPr>
            </w:pPr>
            <w:r>
              <w:rPr>
                <w:rFonts w:ascii="Times New Roman" w:hAnsi="Times New Roman" w:eastAsia="仿宋" w:cs="Times New Roman"/>
                <w:bCs/>
                <w:color w:val="auto"/>
                <w:kern w:val="0"/>
                <w:highlight w:val="none"/>
                <w:u w:val="none"/>
              </w:rPr>
              <w:t>（</w:t>
            </w:r>
            <w:r>
              <w:rPr>
                <w:rFonts w:hint="eastAsia" w:ascii="Times New Roman" w:hAnsi="Times New Roman" w:eastAsia="仿宋" w:cs="Times New Roman"/>
                <w:bCs/>
                <w:color w:val="auto"/>
                <w:kern w:val="0"/>
                <w:highlight w:val="none"/>
                <w:u w:val="none"/>
              </w:rPr>
              <w:t>3</w:t>
            </w:r>
            <w:r>
              <w:rPr>
                <w:rFonts w:ascii="Times New Roman" w:hAnsi="Times New Roman" w:eastAsia="仿宋" w:cs="Times New Roman"/>
                <w:bCs/>
                <w:color w:val="auto"/>
                <w:kern w:val="0"/>
                <w:highlight w:val="none"/>
                <w:u w:val="none"/>
              </w:rPr>
              <w:t>）加强农村环境综合整治。</w:t>
            </w:r>
          </w:p>
        </w:tc>
      </w:tr>
    </w:tbl>
    <w:p>
      <w:pPr>
        <w:pStyle w:val="19"/>
        <w:ind w:left="0" w:leftChars="0" w:firstLine="0"/>
        <w:rPr>
          <w:rFonts w:ascii="Times New Roman" w:hAnsi="Times New Roman" w:eastAsia="仿宋" w:cs="Times New Roman"/>
          <w:b/>
          <w:color w:val="auto"/>
          <w:highlight w:val="none"/>
          <w:u w:val="none"/>
        </w:rPr>
      </w:pPr>
    </w:p>
    <w:p>
      <w:pPr>
        <w:jc w:val="center"/>
        <w:rPr>
          <w:rFonts w:ascii="Times New Roman" w:hAnsi="Times New Roman" w:eastAsia="仿宋" w:cs="Times New Roman"/>
          <w:b/>
          <w:color w:val="auto"/>
          <w:highlight w:val="none"/>
          <w:u w:val="none"/>
        </w:rPr>
      </w:pPr>
      <w:bookmarkStart w:id="57" w:name="_Toc27572324"/>
      <w:r>
        <w:rPr>
          <w:rFonts w:ascii="Times New Roman" w:hAnsi="Times New Roman" w:eastAsia="仿宋" w:cs="Times New Roman"/>
          <w:b/>
          <w:color w:val="auto"/>
          <w:highlight w:val="none"/>
          <w:u w:val="none"/>
        </w:rPr>
        <w:t>表</w:t>
      </w:r>
      <w:r>
        <w:rPr>
          <w:rFonts w:hint="eastAsia" w:ascii="Times New Roman" w:hAnsi="Times New Roman" w:eastAsia="仿宋" w:cs="Times New Roman"/>
          <w:b/>
          <w:color w:val="auto"/>
          <w:highlight w:val="none"/>
          <w:u w:val="none"/>
          <w:lang w:val="en-US" w:eastAsia="zh-CN"/>
        </w:rPr>
        <w:t>3-10</w:t>
      </w:r>
      <w:r>
        <w:rPr>
          <w:rFonts w:ascii="Times New Roman" w:hAnsi="Times New Roman" w:eastAsia="仿宋" w:cs="Times New Roman"/>
          <w:b/>
          <w:color w:val="auto"/>
          <w:highlight w:val="none"/>
          <w:u w:val="none"/>
        </w:rPr>
        <w:t>-2 长春市德惠市生态环境准入清单</w:t>
      </w:r>
      <w:bookmarkEnd w:id="57"/>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54"/>
        <w:gridCol w:w="2115"/>
        <w:gridCol w:w="1819"/>
        <w:gridCol w:w="1679"/>
        <w:gridCol w:w="1671"/>
        <w:gridCol w:w="8084"/>
        <w:gridCol w:w="38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00"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30"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39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306"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03"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ZH22018310001</w:t>
            </w:r>
          </w:p>
        </w:tc>
        <w:tc>
          <w:tcPr>
            <w:tcW w:w="500"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吉林大白水省级湿地自然公园</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2生态保护红线内湿地公园执行《中华人民共和国湿地保护法》《湿地保护管理规定》《吉林省湿地保护条例》《关于特别是作为水禽栖息地的国际重要湿地公约》相关要求。</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ZH22018310002</w:t>
            </w:r>
          </w:p>
        </w:tc>
        <w:tc>
          <w:tcPr>
            <w:tcW w:w="500"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德惠市国家级公益林</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2国家级公益林执行执行</w:t>
            </w:r>
            <w:r>
              <w:rPr>
                <w:rFonts w:hint="eastAsia" w:ascii="Times New Roman" w:hAnsi="Times New Roman" w:eastAsia="仿宋" w:cs="Times New Roman"/>
                <w:color w:val="auto"/>
                <w:sz w:val="20"/>
                <w:szCs w:val="20"/>
                <w:highlight w:val="none"/>
                <w:u w:val="none"/>
              </w:rPr>
              <w:t>《国家级公益林管理办法》（2017年修订）</w:t>
            </w:r>
            <w:r>
              <w:rPr>
                <w:rFonts w:ascii="Times New Roman" w:hAnsi="Times New Roman" w:eastAsia="仿宋" w:cs="Times New Roman"/>
                <w:color w:val="auto"/>
                <w:sz w:val="20"/>
                <w:szCs w:val="20"/>
                <w:highlight w:val="none"/>
                <w:u w:val="none"/>
              </w:rPr>
              <w:t>相关要求。</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ZH22018310003</w:t>
            </w:r>
          </w:p>
        </w:tc>
        <w:tc>
          <w:tcPr>
            <w:tcW w:w="500"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德惠市黑土地保护区</w:t>
            </w:r>
          </w:p>
        </w:tc>
        <w:tc>
          <w:tcPr>
            <w:tcW w:w="430"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ZH22018310004</w:t>
            </w:r>
          </w:p>
        </w:tc>
        <w:tc>
          <w:tcPr>
            <w:tcW w:w="500" w:type="pc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德惠市水土保持功能重要区</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bCs/>
                <w:color w:val="auto"/>
                <w:kern w:val="0"/>
                <w:sz w:val="20"/>
                <w:szCs w:val="20"/>
                <w:highlight w:val="none"/>
                <w:u w:val="none"/>
              </w:rPr>
              <w:t>水土保持、黑土地保护区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ZH22018320001</w:t>
            </w:r>
          </w:p>
        </w:tc>
        <w:tc>
          <w:tcPr>
            <w:tcW w:w="500"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吉林德惠经济开发区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2-重点管控</w:t>
            </w: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395" w:type="pct"/>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9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吉林德惠经济开发区——装备制造产业园区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4重点发展高新技术产业、农产品加工、综合物流、机械电子产业、医药、新型建材产业、装备制造产业和秸杆综合利用等产业。</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大气环境高排放重点管控区、水环境工业污染重点管控区、建设用地污染风险重点管控区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高新技术产业、农产品加工、食品加工、综合物流、机械电子产业、新型建材、秸秆综合利用、汽车拆解、废钢加工、环保装备制造、兼容热电联产、餐厨垃圾处理、建筑垃圾处理、工业垃圾处理、废旧轮胎处理、塑料物理处理、废纸加工、装配式建筑制造、汽车零部件及配套制造、配套工序的有钝化工艺的热镀锌、废旧电池综合利用、食品加工及医药等产业。</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长春循环经济产业开发区——循环经济产业园区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以汽车拆解、废钢加工、环保装备制造为主导产业，兼容热电联产、餐厨垃圾处理、建筑垃圾处理、工业垃圾处理、塑料物理处理、装配式建筑制造、汽车零部件及配套制造、配套工序的有钝化工艺的热镀锌、化工及医药等产业。</w:t>
            </w:r>
          </w:p>
        </w:tc>
        <w:tc>
          <w:tcPr>
            <w:tcW w:w="903" w:type="pct"/>
            <w:vMerge w:val="continue"/>
            <w:tcBorders>
              <w:left w:val="single" w:color="auto" w:sz="4" w:space="0"/>
              <w:right w:val="single" w:color="auto" w:sz="4" w:space="0"/>
            </w:tcBorders>
            <w:vAlign w:val="center"/>
          </w:tcPr>
          <w:p>
            <w:pPr>
              <w:rPr>
                <w:rFonts w:ascii="Times New Roman" w:hAnsi="Times New Roman" w:eastAsia="仿宋" w:cs="Times New Roman"/>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 《产业结构调整指导目录》中的“限制类”项目；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 xml:space="preserve"> 能耗超过《高耗能行业重点领域能效标杆水平和基准水平（2021年版）》中标杆水平的项目；</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 xml:space="preserve"> 依据《关于加强高能耗、高排放建设项目生态环境源头防控的指导意见》 （环环评〔2021〕45号）的相关要求，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不符合空间布局活动的</w:t>
            </w:r>
          </w:p>
          <w:p>
            <w:pPr>
              <w:jc w:val="center"/>
              <w:rPr>
                <w:color w:val="auto"/>
                <w:highlight w:val="none"/>
                <w:u w:val="none"/>
              </w:rPr>
            </w:pPr>
            <w:r>
              <w:rPr>
                <w:rFonts w:ascii="Times New Roman" w:hAnsi="Times New Roman" w:eastAsia="仿宋" w:cs="Times New Roman"/>
                <w:color w:val="auto"/>
                <w:kern w:val="0"/>
                <w:szCs w:val="21"/>
                <w:highlight w:val="none"/>
                <w:u w:val="none"/>
              </w:rPr>
              <w:t>退出要求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实现全收集、全处理；鼓励区内企业进行节水型工艺改造，提高水的重复利用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列入重点排污单位名录的企业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7电力、化工行业项目的环境影响评价，应根据国家及地方环保要求适时增设碳排放核算内容，核算碳排放量；</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 推动单台容量25兆瓦（35蒸吨/小时）及以上燃煤供热锅炉实施超低排放改造。按照国家、省政策的调整和要求，逐步开展燃煤锅炉淘汰工作；</w:t>
            </w:r>
          </w:p>
          <w:p>
            <w:pPr>
              <w:rPr>
                <w:color w:val="auto"/>
                <w:highlight w:val="none"/>
                <w:u w:val="none"/>
              </w:rPr>
            </w:pPr>
            <w:r>
              <w:rPr>
                <w:rFonts w:ascii="Times New Roman" w:hAnsi="Times New Roman" w:eastAsia="仿宋" w:cs="Times New Roman"/>
                <w:color w:val="auto"/>
                <w:kern w:val="0"/>
                <w:szCs w:val="21"/>
                <w:highlight w:val="none"/>
                <w:u w:val="none"/>
              </w:rPr>
              <w:t>2 加大工业污染源烟气高效脱硫脱硝、除尘改造力度,确保各项污染物稳定达标排放，推进重点行业深度治理，深化重点行业挥发性有机物(VOCs)治理。</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重点行业建设项目执行《关于加强重点行业建设项目区域削减措施监督管理的通知》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健全开发区环境风险防控工程。建立企业、开发区和周边水系环境风险防控体系，建设完善的环境风险防控设施，建设能够有效防止泄漏物以及消防废水等进入开发区外环境的拦截措施。</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9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水耗指标满足行业清洁生产评价指标体系要求；</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2用水量、水资源利用效率等指标完成上级部门下达的任务要求。</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按照长春市禁燃区的相关要求执行。</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6"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ZH22018320002</w:t>
            </w:r>
          </w:p>
        </w:tc>
        <w:tc>
          <w:tcPr>
            <w:tcW w:w="500"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长春北湖科技开发区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2-重点管控</w:t>
            </w: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9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大气环境高排放重点管控区、水环境工业污染重点管控区、建设用地污染风险重点管控区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6"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禁止引入的项目：①禁止冶金、造纸、制革、农药制造、金属冶炼等对大气及水环境污染严重的项目；②C1351牲畜屠宰、C1352禽类屠宰不得进入该区域。</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6"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6"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9根据《中共吉林省委 吉林省人民政府 关于完整准确全面贯彻新发展理念做好碳达峰碳中和工作的实施意见》（2021年11月30日），优化产业结构，推进工业领域绿色化改造，推广应用绿色低碳技术、工艺和装备。强化能耗和二氧化碳排放双控制度。坚持节能优先，严格控制能耗和二氧化碳排放强度，合理控制能源消费总量，探索推进二氧化碳排放总量控制。加强产业布局、结构调整、节能审查与能耗双控的衔接，强化节能监察和执法，开展能耗及二氧化碳排放控制目标分析预警，严格落实目标责任。加强甲烷等非二氧化碳温室气体管控。</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89"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89"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3健全开发区环境风险防控工程。建立企业、开发区和周边水系环境风险防控体系，建设完善的环境风险防控设施，建设能够有效防止泄漏物以及消防废水等进入开发区外环境的拦截措施。</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59"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kern w:val="0"/>
                <w:szCs w:val="21"/>
                <w:highlight w:val="none"/>
                <w:u w:val="none"/>
              </w:rPr>
              <w:t>2用水量、水资源利用效率等指标完成上级部门下达的任务要求。</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911"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7"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ZH22018320003</w:t>
            </w:r>
          </w:p>
        </w:tc>
        <w:tc>
          <w:tcPr>
            <w:tcW w:w="500" w:type="pct"/>
            <w:vMerge w:val="restart"/>
            <w:shd w:val="clear" w:color="auto" w:fill="auto"/>
            <w:vAlign w:val="center"/>
          </w:tcPr>
          <w:p>
            <w:pPr>
              <w:widowControl/>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中韩（长春）国际合作示范区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2-重点管控</w:t>
            </w: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3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4项目选址应尽量避让基本农田，国家重大交通、能源、水利、军事设施等重点建设项目选址确实无法避让永久基本农田的，需按程序报批；</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5开发区重点发展的主要产业为高端装备和智能制造、信息技术、医药、健康食品、特色服务、氢能产业、新能源电池、秸秆产业</w:t>
            </w:r>
            <w:r>
              <w:rPr>
                <w:rFonts w:hint="eastAsia" w:ascii="Times New Roman" w:hAnsi="Times New Roman" w:eastAsia="仿宋" w:cs="Times New Roman"/>
                <w:color w:val="auto"/>
                <w:kern w:val="0"/>
                <w:szCs w:val="21"/>
                <w:highlight w:val="none"/>
                <w:u w:val="none"/>
              </w:rPr>
              <w:t>、永磁、新型材料。</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bCs/>
                <w:color w:val="auto"/>
                <w:kern w:val="0"/>
                <w:sz w:val="20"/>
                <w:szCs w:val="20"/>
                <w:highlight w:val="none"/>
                <w:u w:val="none"/>
              </w:rPr>
              <w:t>大气环境高排放重点管控区、水环境工业污染重点管控区</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功能定位：</w:t>
            </w:r>
            <w:r>
              <w:rPr>
                <w:rFonts w:ascii="Times New Roman" w:hAnsi="Times New Roman" w:eastAsia="仿宋" w:cs="Times New Roman"/>
                <w:color w:val="auto"/>
                <w:sz w:val="20"/>
                <w:szCs w:val="20"/>
                <w:highlight w:val="none"/>
                <w:u w:val="none"/>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高端装备和智能制造、信息技术、医药、健康食品、特色服务、氢能产业、新能源电池、秸秆产业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城镇人口密集区禁止新增危险化学品生产企业；</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禁止进行违反城市蓝线保护和控制要求的建设活动；</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城市绿线内的用地，不得改作他用，不得违反法律法规、强制性标准以及批准的规划进行开发建设；</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ascii="Times New Roman" w:hAnsi="Times New Roman" w:eastAsia="仿宋" w:cs="Times New Roman"/>
                <w:color w:val="auto"/>
                <w:kern w:val="0"/>
                <w:szCs w:val="21"/>
                <w:highlight w:val="none"/>
                <w:u w:val="none"/>
              </w:rPr>
              <w:t>2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0"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395"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91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1在充分落实环保措施、对周围环境影响可接受的前提下，允许不符合空间布局的现有项目维持现状；对于其他与产业布局不符的项目，建议进行转产、转型，发展绿色产业，或进行异地搬迁。</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167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8084"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2示范区按照串联用水，分质用水、一水多用和循环利用的原则，提高水资源利用率，建设节水型示范区；加快污水收集管网建设，示范区污废水基本实现全收集、全处理；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示范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7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8084"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根据《长春市人民政府办公厅关于印发长春市空气、水环境、土壤环境质量巩固提升三个行动方案的通知》（长府办发〔2021〕14号），推动单台容量25兆瓦（35蒸吨/小时）及以上燃煤供热锅炉实施超低排放改造。按照最新的政策要求，逐步开展燃煤锅炉淘汰工作。</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rPr>
                <w:color w:val="auto"/>
                <w:highlight w:val="none"/>
                <w:u w:val="none"/>
              </w:rPr>
            </w:pPr>
          </w:p>
        </w:tc>
        <w:tc>
          <w:tcPr>
            <w:tcW w:w="500" w:type="pct"/>
            <w:vMerge w:val="continue"/>
            <w:shd w:val="clear" w:color="auto" w:fill="auto"/>
            <w:vAlign w:val="center"/>
          </w:tcPr>
          <w:p>
            <w:pPr>
              <w:rPr>
                <w:color w:val="auto"/>
                <w:highlight w:val="none"/>
                <w:u w:val="none"/>
              </w:rPr>
            </w:pPr>
          </w:p>
        </w:tc>
        <w:tc>
          <w:tcPr>
            <w:tcW w:w="430" w:type="pct"/>
            <w:vMerge w:val="continue"/>
            <w:tcBorders>
              <w:right w:val="single" w:color="auto" w:sz="4" w:space="0"/>
            </w:tcBorders>
            <w:shd w:val="clear" w:color="auto" w:fill="auto"/>
            <w:vAlign w:val="center"/>
          </w:tcPr>
          <w:p>
            <w:pPr>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8084"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03"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167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8084"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1示范区管委会协助落实土壤污染重点监管企业污染隐患排查、自行监测、拆除生产设备污染防治方案备案等制度；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8084"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1成立示范区应急组织机构，建立环境风险应急防控体系，定期开展应急演练，提高区域环境风险防范能力，按时完成示范区应急预案修编。</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建立突发环境事件联动机制，事故状态下示范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ascii="Times New Roman" w:hAnsi="Times New Roman" w:eastAsia="仿宋" w:cs="Times New Roman"/>
                <w:color w:val="auto"/>
                <w:kern w:val="0"/>
                <w:szCs w:val="21"/>
                <w:highlight w:val="none"/>
                <w:u w:val="none"/>
              </w:rPr>
              <w:t>3健全示范区环境风险防控工程。建立企业、示范区和周边水系环境风险防控体系，建设完善的环境风险防控设施，建设能够有效防止泄漏物以及消防废水等进入示范区外环境的拦截措施。</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462" w:type="pct"/>
            <w:vMerge w:val="continue"/>
            <w:shd w:val="clear" w:color="auto" w:fill="auto"/>
            <w:vAlign w:val="center"/>
          </w:tcPr>
          <w:p>
            <w:pPr>
              <w:widowControl/>
              <w:rPr>
                <w:color w:val="auto"/>
                <w:highlight w:val="none"/>
                <w:u w:val="none"/>
              </w:rPr>
            </w:pPr>
          </w:p>
        </w:tc>
        <w:tc>
          <w:tcPr>
            <w:tcW w:w="500" w:type="pct"/>
            <w:vMerge w:val="continue"/>
            <w:shd w:val="clear" w:color="auto" w:fill="auto"/>
            <w:vAlign w:val="center"/>
          </w:tcPr>
          <w:p>
            <w:pPr>
              <w:widowControl/>
              <w:rPr>
                <w:color w:val="auto"/>
                <w:highlight w:val="none"/>
                <w:u w:val="none"/>
              </w:rPr>
            </w:pPr>
          </w:p>
        </w:tc>
        <w:tc>
          <w:tcPr>
            <w:tcW w:w="430" w:type="pct"/>
            <w:vMerge w:val="continue"/>
            <w:tcBorders>
              <w:right w:val="single" w:color="auto" w:sz="4" w:space="0"/>
            </w:tcBorders>
            <w:shd w:val="clear" w:color="auto" w:fill="auto"/>
            <w:vAlign w:val="center"/>
          </w:tcPr>
          <w:p>
            <w:pPr>
              <w:widowControl/>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widowControl/>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企业环境风险</w:t>
            </w:r>
          </w:p>
          <w:p>
            <w:pPr>
              <w:jc w:val="center"/>
              <w:rPr>
                <w:color w:val="auto"/>
                <w:highlight w:val="none"/>
                <w:u w:val="none"/>
              </w:rPr>
            </w:pPr>
            <w:r>
              <w:rPr>
                <w:rFonts w:ascii="Times New Roman" w:hAnsi="Times New Roman" w:eastAsia="仿宋" w:cs="Times New Roman"/>
                <w:color w:val="auto"/>
                <w:kern w:val="0"/>
                <w:szCs w:val="21"/>
                <w:highlight w:val="none"/>
                <w:u w:val="none"/>
              </w:rPr>
              <w:t>防控要求</w:t>
            </w:r>
          </w:p>
        </w:tc>
        <w:tc>
          <w:tcPr>
            <w:tcW w:w="8084"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03" w:type="pct"/>
            <w:vMerge w:val="continue"/>
            <w:tcBorders>
              <w:left w:val="single" w:color="auto" w:sz="4" w:space="0"/>
              <w:right w:val="single" w:color="auto" w:sz="4" w:space="0"/>
            </w:tcBorders>
            <w:vAlign w:val="center"/>
          </w:tcPr>
          <w:p>
            <w:pPr>
              <w:widowControl/>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2"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p>
        </w:tc>
        <w:tc>
          <w:tcPr>
            <w:tcW w:w="397"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1671"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8084" w:type="dxa"/>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2</w:t>
            </w:r>
            <w:r>
              <w:rPr>
                <w:rFonts w:hint="eastAsia" w:ascii="Times New Roman" w:eastAsia="仿宋"/>
                <w:color w:val="auto"/>
                <w:kern w:val="0"/>
                <w:szCs w:val="21"/>
                <w:highlight w:val="none"/>
                <w:u w:val="none"/>
              </w:rPr>
              <w:t>用水量、水资源利用效率等指标完成上级部门下达的任务要求。</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8084" w:type="dxa"/>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8084"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jc w:val="center"/>
        </w:trPr>
        <w:tc>
          <w:tcPr>
            <w:tcW w:w="462" w:type="pct"/>
            <w:vMerge w:val="continue"/>
            <w:shd w:val="clear" w:color="auto" w:fill="auto"/>
            <w:vAlign w:val="center"/>
          </w:tcPr>
          <w:p>
            <w:pPr>
              <w:jc w:val="left"/>
              <w:rPr>
                <w:color w:val="auto"/>
                <w:highlight w:val="none"/>
                <w:u w:val="none"/>
              </w:rPr>
            </w:pPr>
          </w:p>
        </w:tc>
        <w:tc>
          <w:tcPr>
            <w:tcW w:w="500" w:type="pct"/>
            <w:vMerge w:val="continue"/>
            <w:shd w:val="clear" w:color="auto" w:fill="auto"/>
            <w:vAlign w:val="center"/>
          </w:tcPr>
          <w:p>
            <w:pPr>
              <w:jc w:val="left"/>
              <w:rPr>
                <w:color w:val="auto"/>
                <w:highlight w:val="none"/>
                <w:u w:val="none"/>
              </w:rPr>
            </w:pPr>
          </w:p>
        </w:tc>
        <w:tc>
          <w:tcPr>
            <w:tcW w:w="430" w:type="pct"/>
            <w:vMerge w:val="continue"/>
            <w:tcBorders>
              <w:right w:val="single" w:color="auto" w:sz="4" w:space="0"/>
            </w:tcBorders>
            <w:shd w:val="clear" w:color="auto" w:fill="auto"/>
            <w:vAlign w:val="center"/>
          </w:tcPr>
          <w:p>
            <w:pPr>
              <w:jc w:val="left"/>
              <w:rPr>
                <w:color w:val="auto"/>
                <w:highlight w:val="none"/>
                <w:u w:val="none"/>
              </w:rPr>
            </w:pPr>
          </w:p>
        </w:tc>
        <w:tc>
          <w:tcPr>
            <w:tcW w:w="397"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1671"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8084" w:type="dxa"/>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示范区不涉及禁燃区。</w:t>
            </w:r>
          </w:p>
        </w:tc>
        <w:tc>
          <w:tcPr>
            <w:tcW w:w="903"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ZH22018320004</w:t>
            </w:r>
          </w:p>
        </w:tc>
        <w:tc>
          <w:tcPr>
            <w:tcW w:w="500" w:type="pct"/>
            <w:vMerge w:val="restar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德惠市城镇开发边界</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widowControl/>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大气环境受体敏感重点管控区、水环境城镇生活污染重点管控区、建设用地污染风险重点管控区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发展定位：</w:t>
            </w:r>
            <w:r>
              <w:rPr>
                <w:rFonts w:ascii="Times New Roman" w:hAnsi="Times New Roman" w:eastAsia="仿宋" w:cs="Times New Roman"/>
                <w:color w:val="auto"/>
                <w:sz w:val="20"/>
                <w:szCs w:val="20"/>
                <w:highlight w:val="none"/>
                <w:u w:val="none"/>
              </w:rPr>
              <w:t>以低碳循环经济为特色的哈长城市群重要节点城市、长春市域次中心城市、全国知名绿色食品加工基地，哈长城市群枢纽型仓储物流集散基地、长春市域装备制造、医药健康、生物质资源利用产业承接基地，农牧业加工业、物流业、航空服务和航空制造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bCs/>
                <w:color w:val="auto"/>
                <w:sz w:val="20"/>
                <w:szCs w:val="20"/>
                <w:highlight w:val="none"/>
                <w:u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06"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w:t>
            </w: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除在安全或者产业布局等方面有特殊要求的项目外，应严格控制新建、扩建采用高污染燃料的项目和设施。</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ZH22018320005</w:t>
            </w:r>
          </w:p>
        </w:tc>
        <w:tc>
          <w:tcPr>
            <w:tcW w:w="500" w:type="pct"/>
            <w:vMerge w:val="restart"/>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德惠市大气环境高排放重点管控区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97"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06"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基于“三线一单”研究成果提出，《吉林省生态环境保护“十四五”规划》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bottom"/>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ZH22018320006</w:t>
            </w:r>
          </w:p>
        </w:tc>
        <w:tc>
          <w:tcPr>
            <w:tcW w:w="500" w:type="pct"/>
            <w:vMerge w:val="restar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德惠市大气环境弱扩散重点管控区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除在安全或者产业布局等方面有特殊要求的项目外，宜避免大规模排放大气污染物的项目布局建设。</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大气环境弱扩散重点管控区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依据：</w:t>
            </w:r>
            <w:r>
              <w:rPr>
                <w:rFonts w:ascii="Times New Roman" w:hAnsi="Times New Roman" w:eastAsia="仿宋" w:cs="Times New Roman"/>
                <w:bCs/>
                <w:color w:val="auto"/>
                <w:kern w:val="0"/>
                <w:sz w:val="20"/>
                <w:szCs w:val="20"/>
                <w:highlight w:val="none"/>
                <w:u w:val="none"/>
              </w:rPr>
              <w:t>基于“三线”研究成果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500" w:type="pct"/>
            <w:vMerge w:val="continue"/>
            <w:shd w:val="clear" w:color="auto" w:fill="auto"/>
            <w:vAlign w:val="bottom"/>
          </w:tcPr>
          <w:p>
            <w:pPr>
              <w:widowControl/>
              <w:jc w:val="left"/>
              <w:rPr>
                <w:rFonts w:ascii="Times New Roman" w:hAnsi="Times New Roman" w:eastAsia="仿宋" w:cs="Times New Roman"/>
                <w:color w:val="auto"/>
                <w:sz w:val="20"/>
                <w:szCs w:val="20"/>
                <w:highlight w:val="none"/>
                <w:u w:val="none"/>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1深入推进秸秆禁烧管控，实行秸秆全域禁烧。加快淘汰老旧车辆；强化道路扬尘控制。</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2实施化肥农药减量增效行动和农膜回收行动；采取积极措施，推进养殖业大气氨减排。</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ZH22018330001</w:t>
            </w:r>
          </w:p>
        </w:tc>
        <w:tc>
          <w:tcPr>
            <w:tcW w:w="500" w:type="pct"/>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德惠市一般管控区</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306"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基于“三线”研究成果提出。</w:t>
            </w:r>
          </w:p>
        </w:tc>
      </w:tr>
    </w:tbl>
    <w:p>
      <w:pPr>
        <w:rPr>
          <w:rFonts w:ascii="Times New Roman" w:hAnsi="Times New Roman" w:eastAsia="仿宋" w:cs="Times New Roman"/>
          <w:color w:val="auto"/>
          <w:highlight w:val="none"/>
          <w:u w:val="none"/>
        </w:rPr>
      </w:pPr>
    </w:p>
    <w:p>
      <w:pPr>
        <w:keepNext/>
        <w:keepLines/>
        <w:spacing w:before="260" w:after="260"/>
        <w:outlineLvl w:val="1"/>
        <w:rPr>
          <w:rFonts w:ascii="Times New Roman" w:hAnsi="Times New Roman" w:eastAsia="仿宋" w:cs="Times New Roman"/>
          <w:b/>
          <w:bCs/>
          <w:color w:val="auto"/>
          <w:sz w:val="32"/>
          <w:szCs w:val="32"/>
          <w:highlight w:val="none"/>
          <w:u w:val="none"/>
        </w:rPr>
      </w:pPr>
      <w:bookmarkStart w:id="58" w:name="_Toc10522"/>
      <w:bookmarkStart w:id="59" w:name="_Toc4744"/>
      <w:bookmarkStart w:id="60" w:name="_Toc27572337"/>
      <w:r>
        <w:rPr>
          <w:rFonts w:ascii="Times New Roman" w:hAnsi="Times New Roman" w:eastAsia="仿宋" w:cs="Times New Roman"/>
          <w:b/>
          <w:bCs/>
          <w:color w:val="auto"/>
          <w:sz w:val="32"/>
          <w:szCs w:val="32"/>
          <w:highlight w:val="none"/>
          <w:u w:val="none"/>
        </w:rPr>
        <w:t>（十一）长春市公主岭市生态环境准入清单</w:t>
      </w:r>
      <w:bookmarkEnd w:id="58"/>
      <w:bookmarkEnd w:id="59"/>
    </w:p>
    <w:p>
      <w:pPr>
        <w:jc w:val="center"/>
        <w:rPr>
          <w:rFonts w:ascii="Times New Roman" w:hAnsi="Times New Roman" w:eastAsia="仿宋" w:cs="Times New Roman"/>
          <w:color w:val="auto"/>
          <w:highlight w:val="none"/>
          <w:u w:val="none"/>
        </w:rPr>
      </w:pPr>
      <w:r>
        <w:rPr>
          <w:rFonts w:ascii="Times New Roman" w:hAnsi="Times New Roman" w:eastAsia="仿宋" w:cs="Times New Roman"/>
          <w:b/>
          <w:color w:val="auto"/>
          <w:kern w:val="0"/>
          <w:sz w:val="24"/>
          <w:szCs w:val="24"/>
          <w:highlight w:val="none"/>
          <w:u w:val="none"/>
        </w:rPr>
        <w:t>表</w:t>
      </w:r>
      <w:r>
        <w:rPr>
          <w:rFonts w:hint="eastAsia" w:ascii="Times New Roman" w:hAnsi="Times New Roman" w:eastAsia="仿宋" w:cs="Times New Roman"/>
          <w:b/>
          <w:color w:val="auto"/>
          <w:kern w:val="0"/>
          <w:sz w:val="24"/>
          <w:szCs w:val="24"/>
          <w:highlight w:val="none"/>
          <w:u w:val="none"/>
          <w:lang w:val="en-US" w:eastAsia="zh-CN"/>
        </w:rPr>
        <w:t>3</w:t>
      </w:r>
      <w:r>
        <w:rPr>
          <w:rFonts w:ascii="Times New Roman" w:hAnsi="Times New Roman" w:eastAsia="仿宋" w:cs="Times New Roman"/>
          <w:b/>
          <w:color w:val="auto"/>
          <w:kern w:val="0"/>
          <w:sz w:val="24"/>
          <w:szCs w:val="24"/>
          <w:highlight w:val="none"/>
          <w:u w:val="none"/>
        </w:rPr>
        <w:t>-11-1</w:t>
      </w:r>
      <w:r>
        <w:rPr>
          <w:rFonts w:ascii="Times New Roman" w:hAnsi="Times New Roman" w:eastAsia="仿宋" w:cs="Times New Roman"/>
          <w:b/>
          <w:color w:val="auto"/>
          <w:sz w:val="24"/>
          <w:szCs w:val="24"/>
          <w:highlight w:val="none"/>
          <w:u w:val="none"/>
        </w:rPr>
        <w:t xml:space="preserve"> 公主岭市区域特征研判</w:t>
      </w:r>
    </w:p>
    <w:tbl>
      <w:tblPr>
        <w:tblStyle w:val="2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6842"/>
        <w:gridCol w:w="3909"/>
        <w:gridCol w:w="5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发展定位与目标</w:t>
            </w:r>
          </w:p>
        </w:tc>
        <w:tc>
          <w:tcPr>
            <w:tcW w:w="9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区域突出的生态环境问题</w:t>
            </w:r>
          </w:p>
        </w:tc>
        <w:tc>
          <w:tcPr>
            <w:tcW w:w="13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color w:val="auto"/>
                <w:kern w:val="0"/>
                <w:szCs w:val="21"/>
                <w:highlight w:val="none"/>
                <w:u w:val="none"/>
              </w:rPr>
            </w:pPr>
            <w:r>
              <w:rPr>
                <w:rFonts w:ascii="Times New Roman" w:hAnsi="Times New Roman" w:eastAsia="仿宋" w:cs="Times New Roman"/>
                <w:b/>
                <w:color w:val="auto"/>
                <w:kern w:val="0"/>
                <w:szCs w:val="21"/>
                <w:highlight w:val="none"/>
                <w:u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1.《吉林省主体功能区规划》中的农产品主产区。</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2</w:t>
            </w:r>
            <w:r>
              <w:rPr>
                <w:rFonts w:hint="eastAsia" w:ascii="Times New Roman" w:hAnsi="Times New Roman" w:eastAsia="仿宋" w:cs="Times New Roman"/>
                <w:color w:val="auto"/>
                <w:kern w:val="0"/>
                <w:highlight w:val="none"/>
                <w:u w:val="none"/>
              </w:rPr>
              <w:t>.</w:t>
            </w:r>
            <w:r>
              <w:rPr>
                <w:rFonts w:ascii="Times New Roman" w:hAnsi="Times New Roman" w:eastAsia="仿宋" w:cs="Times New Roman"/>
                <w:color w:val="auto"/>
                <w:kern w:val="0"/>
                <w:highlight w:val="none"/>
                <w:u w:val="none"/>
              </w:rPr>
              <w:t>长春市代管县级市，位于吉林省中西部，东辽河中游右岸，幅员4140平方公里，辖20个乡镇、10个街道。</w:t>
            </w:r>
          </w:p>
          <w:p>
            <w:pPr>
              <w:rPr>
                <w:rFonts w:ascii="Times New Roman" w:hAnsi="Times New Roman" w:eastAsia="仿宋" w:cs="Times New Roman"/>
                <w:color w:val="auto"/>
                <w:kern w:val="0"/>
                <w:highlight w:val="none"/>
                <w:u w:val="none"/>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加快汽车配件加工业和农产品食品加工业两大支柱产业的结构优化和规模扩张。</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壮大装备制造业、能源与新能源产业、建材及新型建材产业、医药化工产业、膨润土产业五大特色产业。</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积极发展生物医药、生物制造、电子信息、新能源汽车、节能环保材料等战略性新兴产业。</w:t>
            </w:r>
          </w:p>
        </w:tc>
        <w:tc>
          <w:tcPr>
            <w:tcW w:w="9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水环境质量需要持续改善</w:t>
            </w:r>
            <w:r>
              <w:rPr>
                <w:rFonts w:hint="eastAsia" w:ascii="Times New Roman" w:hAnsi="Times New Roman" w:eastAsia="仿宋" w:cs="Times New Roman"/>
                <w:color w:val="auto"/>
                <w:kern w:val="0"/>
                <w:highlight w:val="none"/>
                <w:u w:val="none"/>
              </w:rPr>
              <w:t>。</w:t>
            </w:r>
          </w:p>
          <w:p>
            <w:pPr>
              <w:rPr>
                <w:rFonts w:ascii="Times New Roman" w:hAnsi="Times New Roman" w:eastAsia="仿宋" w:cs="Times New Roman"/>
                <w:color w:val="auto"/>
                <w:kern w:val="0"/>
                <w:highlight w:val="none"/>
                <w:u w:val="none"/>
              </w:rPr>
            </w:pPr>
          </w:p>
        </w:tc>
        <w:tc>
          <w:tcPr>
            <w:tcW w:w="133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1.重点保护</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人居安全；黑土地资源；吉林四平二龙湖省级森林公园、吉林农安太平池国家湿地自然公园、卡伦湖生活饮用水水源保护区、二龙山水库生活饮用水水源保护区等。</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2.重点解决问题</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（1）改善区域水环境。</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（2）确保人类开发活动不挤占耕地。</w:t>
            </w:r>
          </w:p>
          <w:p>
            <w:pPr>
              <w:rPr>
                <w:rFonts w:ascii="Times New Roman" w:hAnsi="Times New Roman" w:eastAsia="仿宋" w:cs="Times New Roman"/>
                <w:color w:val="auto"/>
                <w:kern w:val="0"/>
                <w:highlight w:val="none"/>
                <w:u w:val="none"/>
              </w:rPr>
            </w:pPr>
            <w:r>
              <w:rPr>
                <w:rFonts w:ascii="Times New Roman" w:hAnsi="Times New Roman" w:eastAsia="仿宋" w:cs="Times New Roman"/>
                <w:color w:val="auto"/>
                <w:kern w:val="0"/>
                <w:highlight w:val="none"/>
                <w:u w:val="none"/>
              </w:rPr>
              <w:t>（3）控制工业耗水量。</w:t>
            </w:r>
          </w:p>
        </w:tc>
      </w:tr>
    </w:tbl>
    <w:p>
      <w:pPr>
        <w:jc w:val="center"/>
        <w:rPr>
          <w:rFonts w:ascii="Times New Roman" w:hAnsi="Times New Roman" w:eastAsia="仿宋" w:cs="Times New Roman"/>
          <w:b/>
          <w:color w:val="auto"/>
          <w:kern w:val="0"/>
          <w:sz w:val="24"/>
          <w:szCs w:val="24"/>
          <w:highlight w:val="none"/>
          <w:u w:val="none"/>
        </w:rPr>
      </w:pPr>
    </w:p>
    <w:p>
      <w:pPr>
        <w:jc w:val="center"/>
        <w:rPr>
          <w:rFonts w:ascii="Times New Roman" w:hAnsi="Times New Roman" w:eastAsia="仿宋" w:cs="Times New Roman"/>
          <w:b/>
          <w:color w:val="auto"/>
          <w:sz w:val="24"/>
          <w:szCs w:val="24"/>
          <w:highlight w:val="none"/>
          <w:u w:val="none"/>
        </w:rPr>
      </w:pPr>
      <w:r>
        <w:rPr>
          <w:rFonts w:ascii="Times New Roman" w:hAnsi="Times New Roman" w:eastAsia="仿宋" w:cs="Times New Roman"/>
          <w:b/>
          <w:color w:val="auto"/>
          <w:kern w:val="0"/>
          <w:sz w:val="24"/>
          <w:szCs w:val="24"/>
          <w:highlight w:val="none"/>
          <w:u w:val="none"/>
        </w:rPr>
        <w:t>表</w:t>
      </w:r>
      <w:r>
        <w:rPr>
          <w:rFonts w:hint="eastAsia" w:ascii="Times New Roman" w:hAnsi="Times New Roman" w:eastAsia="仿宋" w:cs="Times New Roman"/>
          <w:b/>
          <w:color w:val="auto"/>
          <w:kern w:val="0"/>
          <w:sz w:val="24"/>
          <w:szCs w:val="24"/>
          <w:highlight w:val="none"/>
          <w:u w:val="none"/>
          <w:lang w:val="en-US" w:eastAsia="zh-CN"/>
        </w:rPr>
        <w:t>3</w:t>
      </w:r>
      <w:r>
        <w:rPr>
          <w:rFonts w:ascii="Times New Roman" w:hAnsi="Times New Roman" w:eastAsia="仿宋" w:cs="Times New Roman"/>
          <w:b/>
          <w:color w:val="auto"/>
          <w:kern w:val="0"/>
          <w:sz w:val="24"/>
          <w:szCs w:val="24"/>
          <w:highlight w:val="none"/>
          <w:u w:val="none"/>
        </w:rPr>
        <w:t xml:space="preserve">-11-2 </w:t>
      </w:r>
      <w:r>
        <w:rPr>
          <w:rFonts w:ascii="Times New Roman" w:hAnsi="Times New Roman" w:eastAsia="仿宋" w:cs="Times New Roman"/>
          <w:b/>
          <w:color w:val="auto"/>
          <w:szCs w:val="21"/>
          <w:highlight w:val="none"/>
          <w:u w:val="none"/>
        </w:rPr>
        <w:t xml:space="preserve"> </w:t>
      </w:r>
      <w:r>
        <w:rPr>
          <w:rFonts w:ascii="Times New Roman" w:hAnsi="Times New Roman" w:eastAsia="仿宋" w:cs="Times New Roman"/>
          <w:b/>
          <w:color w:val="auto"/>
          <w:sz w:val="24"/>
          <w:szCs w:val="24"/>
          <w:highlight w:val="none"/>
          <w:u w:val="none"/>
        </w:rPr>
        <w:t>公主岭市生态环境准入清单</w:t>
      </w:r>
    </w:p>
    <w:tbl>
      <w:tblPr>
        <w:tblStyle w:val="20"/>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82"/>
        <w:gridCol w:w="2242"/>
        <w:gridCol w:w="1709"/>
        <w:gridCol w:w="1823"/>
        <w:gridCol w:w="2212"/>
        <w:gridCol w:w="7357"/>
        <w:gridCol w:w="39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trPr>
        <w:tc>
          <w:tcPr>
            <w:tcW w:w="445"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环境管控单元编码</w:t>
            </w:r>
          </w:p>
        </w:tc>
        <w:tc>
          <w:tcPr>
            <w:tcW w:w="530" w:type="pct"/>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环境管控单元名称</w:t>
            </w:r>
          </w:p>
        </w:tc>
        <w:tc>
          <w:tcPr>
            <w:tcW w:w="404" w:type="pct"/>
            <w:tcBorders>
              <w:right w:val="single" w:color="auto" w:sz="4" w:space="0"/>
            </w:tcBorders>
            <w:shd w:val="clear" w:color="auto" w:fill="auto"/>
            <w:vAlign w:val="center"/>
          </w:tcPr>
          <w:p>
            <w:pPr>
              <w:widowControl/>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管控单元分类</w:t>
            </w:r>
          </w:p>
        </w:tc>
        <w:tc>
          <w:tcPr>
            <w:tcW w:w="43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管控类型</w:t>
            </w:r>
          </w:p>
        </w:tc>
        <w:tc>
          <w:tcPr>
            <w:tcW w:w="2262" w:type="pct"/>
            <w:gridSpan w:val="2"/>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管控要求</w:t>
            </w:r>
          </w:p>
        </w:tc>
        <w:tc>
          <w:tcPr>
            <w:tcW w:w="926" w:type="pct"/>
            <w:tcBorders>
              <w:left w:val="single" w:color="auto" w:sz="4" w:space="0"/>
              <w:right w:val="single" w:color="auto" w:sz="4" w:space="0"/>
            </w:tcBorders>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ZH22018410001</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吉林伊通火山群国家级自然保护区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2生态保护红线内自然保护区执行《中华人民共和国自然保护区条例》相关要求。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生态保护红线、大气环境优先保护区、水环境优先保护区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自然保护区、水产种质资源保护区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ZH22018410002</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吉林四平二龙湖省级森林公园</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3</w:t>
            </w:r>
            <w:r>
              <w:rPr>
                <w:rFonts w:ascii="Times New Roman" w:hAnsi="Times New Roman" w:eastAsia="仿宋" w:cs="Times New Roman"/>
                <w:color w:val="auto"/>
                <w:sz w:val="20"/>
                <w:szCs w:val="20"/>
                <w:highlight w:val="none"/>
                <w:u w:val="none"/>
              </w:rPr>
              <w:t>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森林公园、饮用水水源保护区、水产种质资源保护区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ZH22018410003</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吉林农安太平池国家湿地公园</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w:t>
            </w:r>
            <w:r>
              <w:rPr>
                <w:rFonts w:hint="eastAsia" w:ascii="Times New Roman" w:hAnsi="Times New Roman" w:eastAsia="仿宋" w:cs="Times New Roman"/>
                <w:color w:val="auto"/>
                <w:sz w:val="20"/>
                <w:szCs w:val="20"/>
                <w:highlight w:val="none"/>
                <w:u w:val="none"/>
              </w:rPr>
              <w:t>湿地公园</w:t>
            </w:r>
            <w:r>
              <w:rPr>
                <w:rFonts w:ascii="Times New Roman" w:hAnsi="Times New Roman" w:eastAsia="仿宋" w:cs="Times New Roman"/>
                <w:color w:val="auto"/>
                <w:sz w:val="20"/>
                <w:szCs w:val="20"/>
                <w:highlight w:val="none"/>
                <w:u w:val="none"/>
              </w:rPr>
              <w:t>执行《中华人民共和国湿地保护法》《湿地保护管理规定》</w:t>
            </w:r>
            <w:r>
              <w:rPr>
                <w:rFonts w:hint="eastAsia" w:ascii="Times New Roman" w:hAnsi="Times New Roman" w:eastAsia="仿宋" w:cs="Times New Roman"/>
                <w:color w:val="auto"/>
                <w:sz w:val="20"/>
                <w:szCs w:val="20"/>
                <w:highlight w:val="none"/>
                <w:u w:val="none"/>
              </w:rPr>
              <w:t>《国家级自然公园管理办法（试行）》</w:t>
            </w:r>
            <w:r>
              <w:rPr>
                <w:rFonts w:ascii="Times New Roman" w:hAnsi="Times New Roman" w:eastAsia="仿宋" w:cs="Times New Roman"/>
                <w:color w:val="auto"/>
                <w:sz w:val="20"/>
                <w:szCs w:val="20"/>
                <w:highlight w:val="none"/>
                <w:u w:val="none"/>
              </w:rPr>
              <w:t>《吉林省湿地保护条例》《关于特别是作为水禽栖息地的国际重要湿地公约》相关要求。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ZH22018410004</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公主岭市卡伦水库生活饮用水源保护区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ZH22018410005</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二龙山水库生活饮用水水源保护区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3水产种质资源保护区执行《水产种质资源保护区管理办法》相关要求。</w:t>
            </w:r>
          </w:p>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ZH22018410006</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公主岭市卡伦水库生活饮用水源保护区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2生态保护红线内饮用水水源保护区执行《中华人民共和国水污染防治法》《饮用水水源保护区污染防治管理规定》《吉林省城镇饮用水水源保护条例》相关要求。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ZH22018410007</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二龙湖国家级水产种质资源保护区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1原则上按禁止开发区域的要求进行管理，执行</w:t>
            </w:r>
            <w:r>
              <w:rPr>
                <w:rFonts w:hint="eastAsia" w:ascii="Times New Roman" w:hAnsi="Times New Roman" w:eastAsia="仿宋" w:cs="Times New Roman"/>
                <w:color w:val="auto"/>
                <w:kern w:val="0"/>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kern w:val="0"/>
                <w:sz w:val="20"/>
                <w:szCs w:val="20"/>
                <w:highlight w:val="none"/>
                <w:u w:val="none"/>
              </w:rPr>
              <w:t>中相关要求。</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水产种质资源保护区、水土保持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ZH22018410008</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二龙湖国家级水产种质资源保护区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2水产种质资源保护区执行《水产种质资源保护区管理办法》相关要求。</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一般生态空间、水环境优先保护区、农用地优先保护区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ZH22018410009</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公主岭市黑土地保护区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ZH22018410010</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公主岭市水土保持功能生态保护红线</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1原则上按禁止开发区域的要求进行管理，执行</w:t>
            </w:r>
            <w:r>
              <w:rPr>
                <w:rFonts w:hint="eastAsia" w:ascii="Times New Roman" w:hAnsi="Times New Roman" w:eastAsia="仿宋" w:cs="Times New Roman"/>
                <w:color w:val="auto"/>
                <w:sz w:val="20"/>
                <w:szCs w:val="20"/>
                <w:highlight w:val="none"/>
                <w:u w:val="none"/>
              </w:rPr>
              <w:t>《自然资源部 生态环境部 国家林业和草原局关于加强生态保护红线管理的通知（试行）》《吉林省生态保护红线监管办法（试行）》</w:t>
            </w:r>
            <w:r>
              <w:rPr>
                <w:rFonts w:ascii="Times New Roman" w:hAnsi="Times New Roman" w:eastAsia="仿宋" w:cs="Times New Roman"/>
                <w:color w:val="auto"/>
                <w:sz w:val="20"/>
                <w:szCs w:val="20"/>
                <w:highlight w:val="none"/>
                <w:u w:val="none"/>
              </w:rPr>
              <w:t>中相关要求。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生态保护红线、水环境优先保护区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ZH22018410011</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公主岭市水土保持功能重要区</w:t>
            </w:r>
          </w:p>
        </w:tc>
        <w:tc>
          <w:tcPr>
            <w:tcW w:w="404" w:type="pc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4</w:t>
            </w:r>
            <w:r>
              <w:rPr>
                <w:rFonts w:hint="eastAsia" w:ascii="Times New Roman" w:hAnsi="Times New Roman" w:eastAsia="仿宋" w:cs="Times New Roman"/>
                <w:color w:val="auto"/>
                <w:kern w:val="0"/>
                <w:sz w:val="20"/>
                <w:szCs w:val="20"/>
                <w:highlight w:val="none"/>
                <w:u w:val="none"/>
              </w:rPr>
              <w:t>区内不符合主体功能定位的的现有产业</w:t>
            </w:r>
            <w:r>
              <w:rPr>
                <w:rFonts w:ascii="Times New Roman" w:hAnsi="Times New Roman" w:eastAsia="仿宋" w:cs="Times New Roman"/>
                <w:color w:val="auto"/>
                <w:kern w:val="0"/>
                <w:sz w:val="20"/>
                <w:szCs w:val="20"/>
                <w:highlight w:val="none"/>
                <w:u w:val="none"/>
              </w:rPr>
              <w:t>，实施搬迁或关闭。对已造成的污染或损害，应限期治理。</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水土保持、黑土地保护区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ZH22018410012</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公主岭市防风固沙功能重要区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2禁止发展高耗水工业。</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6</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sz w:val="20"/>
                <w:szCs w:val="20"/>
                <w:highlight w:val="none"/>
                <w:u w:val="none"/>
              </w:rPr>
              <w:t>7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防风固沙、水土流失、盐渍化、土地沙化、黑土地保护区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ZH22018410013</w:t>
            </w:r>
          </w:p>
        </w:tc>
        <w:tc>
          <w:tcPr>
            <w:tcW w:w="530" w:type="pct"/>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公主岭市水土流失敏感区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1原则上按限制开发区域的要求进行管理。避免开发建设活动损害生态服务功能和生态产品质量。</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w:t>
            </w:r>
            <w:r>
              <w:rPr>
                <w:rFonts w:hint="eastAsia" w:ascii="Times New Roman" w:hAnsi="Times New Roman" w:eastAsia="仿宋" w:cs="Times New Roman"/>
                <w:color w:val="auto"/>
                <w:sz w:val="20"/>
                <w:szCs w:val="20"/>
                <w:highlight w:val="none"/>
                <w:u w:val="none"/>
              </w:rPr>
              <w:t>区内不符合主体功能定位的的现有产业</w:t>
            </w:r>
            <w:r>
              <w:rPr>
                <w:rFonts w:ascii="Times New Roman" w:hAnsi="Times New Roman" w:eastAsia="仿宋" w:cs="Times New Roman"/>
                <w:color w:val="auto"/>
                <w:sz w:val="20"/>
                <w:szCs w:val="20"/>
                <w:highlight w:val="none"/>
                <w:u w:val="none"/>
              </w:rPr>
              <w:t>，实施搬迁或关闭。对已造成的污染或损害，应限期治理。</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一般生态空间、农用地优先保护区</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保护对象：</w:t>
            </w:r>
            <w:r>
              <w:rPr>
                <w:rFonts w:ascii="Times New Roman" w:hAnsi="Times New Roman" w:eastAsia="仿宋" w:cs="Times New Roman"/>
                <w:color w:val="auto"/>
                <w:sz w:val="20"/>
                <w:szCs w:val="20"/>
                <w:highlight w:val="none"/>
                <w:u w:val="none"/>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ZH22018420001</w:t>
            </w:r>
          </w:p>
        </w:tc>
        <w:tc>
          <w:tcPr>
            <w:tcW w:w="530"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长春大岭经济开发区</w:t>
            </w:r>
          </w:p>
        </w:tc>
        <w:tc>
          <w:tcPr>
            <w:tcW w:w="40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523" w:type="pct"/>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吉林大岭汽车物流经济开发区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4大岭汽车物流经济开发区以汽车物流、改装车生产、汽车零部件生产、综合服务业等为重点发展产业。</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汽车物流、改装车生产、综合服务业、绿色食品加工、汽车零部件加工为主的机械制造、电子信息产业、农畜产品加工、新型建材加工等</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基于“三线”研究成果，结合《企业事业单位突发环境事件应急预案备案管理办法（试行）》《吉林省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公主岭怀德工业集中区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4重点发展绿色食品加工、汽车零部件加工为主的机械制造、电子信息产业、农畜产品加工、新型建材加工和文化生活服务等产业。</w:t>
            </w:r>
          </w:p>
        </w:tc>
        <w:tc>
          <w:tcPr>
            <w:tcW w:w="926" w:type="pct"/>
            <w:vMerge w:val="continue"/>
            <w:tcBorders>
              <w:left w:val="single" w:color="auto" w:sz="4" w:space="0"/>
              <w:right w:val="single" w:color="auto" w:sz="4" w:space="0"/>
            </w:tcBorders>
            <w:vAlign w:val="center"/>
          </w:tcPr>
          <w:p>
            <w:pPr>
              <w:rPr>
                <w:rFonts w:ascii="Times New Roman" w:hAnsi="Times New Roman" w:eastAsia="仿宋" w:cs="Times New Roman"/>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吉林大岭汽车物流经济开发区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禁止进行违反城市蓝线保护和控制要求的建设活动；</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城市建成区原则上不再新建单台容量 29 兆瓦（40 蒸吨/小时）以下燃煤锅炉，其他区域原则上不再新建单台容量 14 兆瓦（20 蒸吨/小时）以下的燃煤锅炉。</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公主岭怀德工业集中区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1《产业结构调整指导目录》中的“淘汰类”项目；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不符合集中区总体规划或产业规划的项目；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能耗、物耗较大，尤其是对大气及水环境污染严重的项目，或是耗水量较大的项目；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排放汞、镉、六价铬重金属或持久性有机污染物的项目；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5</w:t>
            </w:r>
            <w:r>
              <w:rPr>
                <w:rFonts w:ascii="Times New Roman" w:hAnsi="Times New Roman" w:eastAsia="仿宋" w:cs="Times New Roman"/>
                <w:color w:val="auto"/>
                <w:kern w:val="0"/>
                <w:szCs w:val="21"/>
                <w:highlight w:val="none"/>
                <w:u w:val="none"/>
              </w:rPr>
              <w:t>不符合产业政策的纸浆制造、造纸业项目；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6</w:t>
            </w:r>
            <w:r>
              <w:rPr>
                <w:rFonts w:ascii="Times New Roman" w:hAnsi="Times New Roman" w:eastAsia="仿宋" w:cs="Times New Roman"/>
                <w:color w:val="auto"/>
                <w:kern w:val="0"/>
                <w:szCs w:val="21"/>
                <w:highlight w:val="none"/>
                <w:u w:val="none"/>
              </w:rPr>
              <w:t>棉、化纤纺织及印染精加工，毛纺织及染整精加工，丝绢纺织及精加工，皮革、皮毛、羽毛（绒）及其制品业（皮革鞣制、毛皮鞣制等），石油加工、炼焦，非金属矿物制品</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业中的水泥、石灰、石膏的制造，有色金属冶炼业，黑色金属冶炼（炼铁、炼钢及铁合金冶炼等），农药制造；</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7</w:t>
            </w: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restar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吉林大岭汽车物流经济开发区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依据《关于加强高能耗、高排放建设项目生态环境源头防控的指导意见》（环环评〔2021〕45号）的相关要求，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公主岭怀德工业集中区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1《产业结构调整指导目录》中的“限制类”项目；</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2</w:t>
            </w:r>
            <w:r>
              <w:rPr>
                <w:rFonts w:ascii="Times New Roman" w:hAnsi="Times New Roman" w:eastAsia="仿宋" w:cs="Times New Roman"/>
                <w:color w:val="auto"/>
                <w:kern w:val="0"/>
                <w:szCs w:val="21"/>
                <w:highlight w:val="none"/>
                <w:u w:val="none"/>
              </w:rPr>
              <w:t>依据《关于加强高能耗、高排放建设项目生态环境源头防控的指导意见》（环环评〔2021〕45 号）的相关要求，新建、扩建“两高”项目应采用先进适用的工艺技术和装备，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单位产品物耗、能耗、水耗等达到清洁生产先进水平，依法制定并严格落实防治土壤与地下水污染的措施；国家或地方已出台超低排放要求的“两高”行业建设项目应满足超低排放要求；</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lang w:val="en-US" w:eastAsia="zh-CN"/>
              </w:rPr>
              <w:t>3</w:t>
            </w:r>
            <w:r>
              <w:rPr>
                <w:rFonts w:ascii="Times New Roman" w:hAnsi="Times New Roman" w:eastAsia="仿宋" w:cs="Times New Roman"/>
                <w:color w:val="auto"/>
                <w:kern w:val="0"/>
                <w:szCs w:val="21"/>
                <w:highlight w:val="none"/>
                <w:u w:val="none"/>
              </w:rPr>
              <w:t>需用新鲜水量大于5000m</w:t>
            </w:r>
            <w:r>
              <w:rPr>
                <w:rFonts w:ascii="Times New Roman" w:hAnsi="Times New Roman" w:eastAsia="仿宋" w:cs="Times New Roman"/>
                <w:color w:val="auto"/>
                <w:kern w:val="0"/>
                <w:szCs w:val="21"/>
                <w:highlight w:val="none"/>
                <w:u w:val="none"/>
                <w:vertAlign w:val="superscript"/>
              </w:rPr>
              <w:t>3</w:t>
            </w:r>
            <w:r>
              <w:rPr>
                <w:rFonts w:ascii="Times New Roman" w:hAnsi="Times New Roman" w:eastAsia="仿宋" w:cs="Times New Roman"/>
                <w:color w:val="auto"/>
                <w:kern w:val="0"/>
                <w:szCs w:val="21"/>
                <w:highlight w:val="none"/>
                <w:u w:val="none"/>
              </w:rPr>
              <w:t>/d 以上的项目；</w:t>
            </w:r>
          </w:p>
          <w:p>
            <w:pPr>
              <w:rPr>
                <w:color w:val="auto"/>
                <w:highlight w:val="none"/>
                <w:u w:val="none"/>
              </w:rPr>
            </w:pPr>
            <w:r>
              <w:rPr>
                <w:rFonts w:hint="eastAsia" w:ascii="Times New Roman" w:hAnsi="Times New Roman" w:eastAsia="仿宋" w:cs="Times New Roman"/>
                <w:color w:val="auto"/>
                <w:kern w:val="0"/>
                <w:szCs w:val="21"/>
                <w:highlight w:val="none"/>
                <w:u w:val="none"/>
                <w:lang w:val="en-US" w:eastAsia="zh-CN"/>
              </w:rPr>
              <w:t>4</w:t>
            </w:r>
            <w:r>
              <w:rPr>
                <w:rFonts w:ascii="Times New Roman" w:hAnsi="Times New Roman" w:eastAsia="仿宋" w:cs="Times New Roman"/>
                <w:color w:val="auto"/>
                <w:kern w:val="0"/>
                <w:szCs w:val="21"/>
                <w:highlight w:val="none"/>
                <w:u w:val="none"/>
              </w:rPr>
              <w:t>水产品加工，乳制品制造，调味品及发酵制品制造，饮料制造业，纺织服装、鞋、帽制造业，废旧资源和废旧材料回收加工业，制糖业，再生纸（中高档），中药材加工。</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rPr>
                <w:color w:val="auto"/>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化工、工业涂装、包装印刷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7电力行业项目的环境影响评价，应根据国家及地方环保要求适时增设碳排放核算内容，核算碳排放量；</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39"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kern w:val="0"/>
                <w:szCs w:val="21"/>
                <w:highlight w:val="none"/>
                <w:u w:val="none"/>
              </w:rPr>
              <w:t>加大工业污染源烟气高效脱硫脱硝、除尘改造力度,确保各项污染物稳定达标排放，推进重点行业深度治理，深化重点行业挥发性有机物(VOCs)治理。</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39" w:type="pct"/>
            <w:tcBorders>
              <w:left w:val="single" w:color="auto" w:sz="4" w:space="0"/>
              <w:right w:val="single" w:color="auto" w:sz="4" w:space="0"/>
            </w:tcBorders>
            <w:shd w:val="clear" w:color="auto" w:fill="auto"/>
            <w:vAlign w:val="center"/>
          </w:tcPr>
          <w:p>
            <w:pPr>
              <w:widowControl/>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1</w:t>
            </w: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成立开发区应急组织机构，建立环境风险应急防控体系，定期开展应急演练，提高区域环境风险防范能力，按时完成开发区应急预案修编。</w:t>
            </w:r>
          </w:p>
          <w:p>
            <w:pPr>
              <w:rPr>
                <w:rFonts w:ascii="Times New Roman" w:hAnsi="Times New Roman" w:eastAsia="仿宋" w:cs="Times New Roman"/>
                <w:color w:val="auto"/>
                <w:kern w:val="0"/>
                <w:szCs w:val="21"/>
                <w:highlight w:val="none"/>
                <w:u w:val="none"/>
              </w:rPr>
            </w:pPr>
            <w:r>
              <w:rPr>
                <w:rFonts w:hint="eastAsia" w:ascii="Times New Roman" w:hAnsi="Times New Roman" w:eastAsia="仿宋" w:cs="Times New Roman"/>
                <w:color w:val="auto"/>
                <w:kern w:val="0"/>
                <w:szCs w:val="21"/>
                <w:highlight w:val="none"/>
                <w:u w:val="none"/>
              </w:rPr>
              <w:t>2</w:t>
            </w:r>
            <w:r>
              <w:rPr>
                <w:rFonts w:ascii="Times New Roman" w:hAnsi="Times New Roman" w:eastAsia="仿宋" w:cs="Times New Roman"/>
                <w:color w:val="auto"/>
                <w:kern w:val="0"/>
                <w:szCs w:val="21"/>
                <w:highlight w:val="none"/>
                <w:u w:val="none"/>
              </w:rPr>
              <w:t>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rPr>
                <w:color w:val="auto"/>
                <w:highlight w:val="none"/>
                <w:u w:val="none"/>
              </w:rPr>
            </w:pPr>
            <w:r>
              <w:rPr>
                <w:rFonts w:hint="eastAsia" w:ascii="Times New Roman" w:hAnsi="Times New Roman" w:eastAsia="仿宋" w:cs="Times New Roman"/>
                <w:color w:val="auto"/>
                <w:kern w:val="0"/>
                <w:szCs w:val="21"/>
                <w:highlight w:val="none"/>
                <w:u w:val="none"/>
              </w:rPr>
              <w:t>3</w:t>
            </w:r>
            <w:r>
              <w:rPr>
                <w:rFonts w:ascii="Times New Roman" w:hAnsi="Times New Roman" w:eastAsia="仿宋" w:cs="Times New Roman"/>
                <w:color w:val="auto"/>
                <w:kern w:val="0"/>
                <w:szCs w:val="21"/>
                <w:highlight w:val="none"/>
                <w:u w:val="none"/>
              </w:rPr>
              <w:t>健全开发区环境风险防控工程。建立企业、开发区和周边水系环境风险防控体系，建设完善的环境风险防控设施，建设能够有效防止泄漏物以及消防废水等进入开发区外环境的拦截措施。</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1区内企业应建立完善风险防范体系及风险防范措施，做好与开发区的联动；制定应急预案并及时修编，定期演练，加强对于风险防范措施的维护，保证措施有效、应急物质充足；</w:t>
            </w:r>
          </w:p>
          <w:p>
            <w:pPr>
              <w:widowControl/>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23" w:type="pct"/>
            <w:vMerge w:val="restar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吉林大岭汽车物流经济开发区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1开发区按照串联用水，分质用水、一水多用和循环利用的原则，提高水资源利用率，建设节水型园区；积极推行水循环梯级利用，开展以节水为重点内容的绿色高质量转型升</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2新建、改建、扩建项目用水要达到行业先进水平，节水设施应与主体工程同时设计、同时施工、同时投运。按照国家有关法规，开展规划水资源论证技术审查、取水许可审批。</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3</w:t>
            </w:r>
            <w:r>
              <w:rPr>
                <w:rFonts w:hint="eastAsia" w:ascii="Times New Roman" w:eastAsia="仿宋"/>
                <w:color w:val="auto"/>
                <w:kern w:val="0"/>
                <w:szCs w:val="21"/>
                <w:highlight w:val="none"/>
                <w:u w:val="none"/>
              </w:rPr>
              <w:t>用水量、水资源利用效率等指标完成上级部门下达的任务要求。</w:t>
            </w:r>
            <w:r>
              <w:rPr>
                <w:rFonts w:ascii="Times New Roman" w:hAnsi="Times New Roman" w:eastAsia="仿宋" w:cs="Times New Roman"/>
                <w:color w:val="auto"/>
                <w:kern w:val="0"/>
                <w:szCs w:val="21"/>
                <w:highlight w:val="none"/>
                <w:u w:val="none"/>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公主岭怀德工业集中区</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集中区按照串联用水，分质用水、一水多用和循环利用的原则，提高水资源利用率，建设节水型集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rPr>
                <w:rFonts w:ascii="Times New Roman" w:hAnsi="Times New Roman" w:eastAsia="仿宋" w:cs="Times New Roman"/>
                <w:color w:val="auto"/>
                <w:kern w:val="0"/>
                <w:sz w:val="20"/>
                <w:szCs w:val="20"/>
                <w:highlight w:val="none"/>
                <w:u w:val="none"/>
              </w:rPr>
            </w:pPr>
            <w:r>
              <w:rPr>
                <w:rFonts w:hint="eastAsia" w:ascii="Times New Roman" w:eastAsia="仿宋"/>
                <w:color w:val="auto"/>
                <w:kern w:val="0"/>
                <w:szCs w:val="21"/>
                <w:highlight w:val="none"/>
                <w:u w:val="none"/>
              </w:rPr>
              <w:t>2用水量、水资源利用效率等指标完成上级部门下达的任务要求。</w:t>
            </w:r>
          </w:p>
        </w:tc>
        <w:tc>
          <w:tcPr>
            <w:tcW w:w="926" w:type="pct"/>
            <w:vMerge w:val="continue"/>
            <w:tcBorders>
              <w:left w:val="single" w:color="auto" w:sz="4" w:space="0"/>
              <w:right w:val="single" w:color="auto" w:sz="4" w:space="0"/>
            </w:tcBorders>
            <w:vAlign w:val="center"/>
          </w:tcPr>
          <w:p>
            <w:pPr>
              <w:rPr>
                <w:rFonts w:ascii="Times New Roman" w:hAnsi="Times New Roman" w:eastAsia="仿宋" w:cs="Times New Roman"/>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b/>
                <w:bCs/>
                <w:color w:val="auto"/>
                <w:kern w:val="0"/>
                <w:szCs w:val="21"/>
                <w:highlight w:val="none"/>
                <w:u w:val="none"/>
              </w:rPr>
            </w:pPr>
            <w:r>
              <w:rPr>
                <w:rFonts w:ascii="Times New Roman" w:hAnsi="Times New Roman" w:eastAsia="仿宋" w:cs="Times New Roman"/>
                <w:b/>
                <w:bCs/>
                <w:color w:val="auto"/>
                <w:kern w:val="0"/>
                <w:szCs w:val="21"/>
                <w:highlight w:val="none"/>
                <w:u w:val="none"/>
              </w:rPr>
              <w:t>吉林大岭汽车物流经济开发区</w:t>
            </w:r>
          </w:p>
          <w:p>
            <w:pPr>
              <w:rPr>
                <w:color w:val="auto"/>
                <w:highlight w:val="none"/>
                <w:u w:val="none"/>
              </w:rPr>
            </w:pPr>
            <w:r>
              <w:rPr>
                <w:rFonts w:ascii="Times New Roman" w:hAnsi="Times New Roman" w:eastAsia="仿宋" w:cs="Times New Roman"/>
                <w:color w:val="auto"/>
                <w:kern w:val="0"/>
                <w:szCs w:val="21"/>
                <w:highlight w:val="none"/>
                <w:u w:val="none"/>
              </w:rPr>
              <w:t>城市建成区原则上不再新建单台容量29兆瓦(40蒸吨/小时)以下燃煤锅炉,其他区域原则上不再新建单台容量14兆瓦(20蒸吨/小时)以下的燃煤锅炉。按照国家、省政策的调整和要求，逐步开展燃煤锅炉淘汰工作。</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45"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ZH22018420002</w:t>
            </w:r>
          </w:p>
        </w:tc>
        <w:tc>
          <w:tcPr>
            <w:tcW w:w="530"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吉林长春国家农业高新技术产业示范区</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3严格按照产业政策要求选择落区项目；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4农高区主要分为核心区和示范区：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核心区中农业博览园是集优质农产品展示交易、农业科技成果展示交流、国内外会展交易、现代农业外经贸交流、创新驱动、科普教育、综合服务配套、生态旅游和休闲体验等功能于一体的综合性博览园；</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高新科技创新创业园结合现有国家农业科技园区以及吉林省农科院为基础，重点围绕以玉米全产业链条的取长补短，集聚科研机构和高等学校科教资源，发挥科技研发、创新推广、企业培育、创业孵化、共享交流、综合服务等功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智能农机装备智造园主要承担智能农机装备制造科技创新、研究制造、试验检测、技术交流、成果转化、生产销售、展示交易、综合服务等功能；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玉米精深加工产业园主要承担以玉米精深加工全产业链为主导的科技研发、检验检测、创新示范、成果转化、产品集成展示、综合服务等功能。</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示范区中现代物流仓储示范基地是以鸿丰物流园为产业发展基础，承担智能仓储、商贸物流、配套服务等功能，完善建设智能仓储中心、自动化立体仓库、恒温仓库、VR仓库、智能化冷链仓储及运输设施、商贸物流服务平台、运输管理中心、物流配送中心等，同时利用数字化管理系统和智能设备搭建智能仓库管理平台现代物流综合管理平台、仓储物流网络服务平台配送中心管理平台，架构农高区现代物流仓储智能体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休闲农业示范基地将布局建设观光采摘农业、智能温室、大棚生态餐厅、农家乐、农家大院、民俗村、垂钓鲜食等，以带动观赏经济作物种植、蔬菜瓜果消费、家禽家畜消费、餐饮住宿接待、民俗文化消费的全面发展，同时融入观光活动、体验活动、科普教育活动、度假活动、养生疗养活动，以及各种主题活动，深度挖掘地域文化特征与传统节日的基础上设计相关的节庆活动，突出地方特色，形成集科普、生产、加工、销售、观赏、娱乐、度假等于一体的休闲农业示范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黑土地可持续发展示范基地布局规划黑土地质量监测评价与保护性耕作研究中心、遥感监测示范基地、黑土地土壤研究院、黑土地土壤质量及生态系统监测站网、黑土地可持续发展长期监测点、黑土地保护循环农业中心、黑土地资源综合管理与服务系统，同时支持科研院所、大专院校与骨干企业新型农业经营主体、推广服务机构合作共建保护性耕作科研平台等，全面推动和促进园区乃至东北黑土地保护和农业可持续发展；</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智能农机示范基地布局建设现代农业高端装备演示与农机农艺融合示范基地、智能农机研发应用与农业大数据平台、智能农机展示平台、玉米标准化种植基地、信息化管理中心、质量标准研究中心、专家系统诊断中心、农机田间标准化作业平台、人才教育培训平台等，在打造现代农业社会化专业服务体系的同时，实现农业生产市场化、治理公司化、管理信息化，形成具备全国一流水平的农业机械化、智能化的“产学研用展”集中呈现的示范基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现代种业示范基地规划布局现代种业科学研究院、生物育种研究中心、育种中心、现代种业品种测试中心、现代种业实验室、新品种试验站、种子质量检测中心（内设植物病理诊断室，分子实验室、核酸提取区、常规检测室等）、种业创新孵化中心、现代种子仓储中心、种子标准储备仓库、全自动化种子加工生产线、玉米良种选育展示中心、玉米综合技术评价中心、种业电子商务平台、“育繁推”企业总部大楼等；</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城乡融合示范基地积极推进培育壮大农村经济新业态和经营新主体，加快乡村休闲旅游、农村电子商务等产业发展，在拓宽农民增收渠道的同时，积极推进农业农村现代化进程，构建产城融合的相互补充和产业集聚的创新发展体系。</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color w:val="auto"/>
                <w:kern w:val="0"/>
                <w:szCs w:val="21"/>
                <w:highlight w:val="none"/>
                <w:u w:val="none"/>
              </w:rPr>
              <w:t>医药制造园（远期）重点扶持2-3个生物制药特色细分领域，实现集聚集群发展，提升示范区生物制药产业核心竞争力。打造医药物流中心，开发建设生物医药基地。</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大气环境高排放重点管控区、水环境工业污染重点管控区、建设用地污染风险重点管控区、高污染燃料禁燃区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打造东北黑土地可持续发展典范区、全国玉米全产业链发展集聚区、东北特色乡村振兴样板区。</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农业博览、高新科技创新、智能农机装备智造、玉米精深加工、现代物流仓储、医药制造等</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w:t>
            </w:r>
            <w:r>
              <w:rPr>
                <w:rFonts w:ascii="Times New Roman" w:hAnsi="Times New Roman" w:eastAsia="仿宋" w:cs="Times New Roman"/>
                <w:color w:val="auto"/>
                <w:kern w:val="0"/>
                <w:sz w:val="20"/>
                <w:szCs w:val="20"/>
                <w:highlight w:val="none"/>
                <w:u w:val="none"/>
              </w:rPr>
              <w:t>《企业事业单位突发环境事件应急预案备案管理办法（试行）》《吉林省“十四五”节能减排综合实施方案》《污染地块土壤环境管理办法（试行）》《工矿用地土壤环境管理办法（试行）》</w:t>
            </w:r>
            <w:r>
              <w:rPr>
                <w:rFonts w:ascii="Times New Roman" w:hAnsi="Times New Roman" w:eastAsia="仿宋" w:cs="Times New Roman"/>
                <w:color w:val="auto"/>
                <w:sz w:val="20"/>
                <w:szCs w:val="20"/>
                <w:highlight w:val="none"/>
                <w:u w:val="none"/>
              </w:rPr>
              <w:t>《长春市人民政府关于划定高污染燃料禁燃区的通告》</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公主岭市</w:t>
            </w:r>
            <w:r>
              <w:rPr>
                <w:rFonts w:hint="eastAsia" w:ascii="Times New Roman" w:hAnsi="Times New Roman" w:eastAsia="仿宋" w:cs="Times New Roman"/>
                <w:bCs/>
                <w:color w:val="auto"/>
                <w:kern w:val="0"/>
                <w:sz w:val="20"/>
                <w:szCs w:val="20"/>
                <w:highlight w:val="none"/>
                <w:u w:val="none"/>
              </w:rPr>
              <w:t>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1不得引进《产业结构调整指导目录》淘汰类；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2不符合产业定位的项目；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3超过生态承载力的旅游活动和药材等林产品采集；</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 3万吨/年以下酒精生产线（废糖蜜制酒精除外）；</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5年处理15万吨以下、总干物收率97%以下的湿法玉米淀粉生产线（特种玉米淀粉生产线除外）；</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6猪、牛、羊、禽手工屠宰工艺；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7每小时40蒸吨及以下燃煤锅炉；</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8严禁生产和使用厚度0.01mm以下地膜；</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9列入《环境保护综合名录》中的高耗能、高耗水、高耗电项目；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10安全风险大、工艺设施落后、本质安全水平低的企业或项目；新建、扩建技术装备、污染排放、能耗达不到相关行业先进水平的项目；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11禁止生物入侵品种，禁止高毒高残农药；</w:t>
            </w:r>
          </w:p>
          <w:p>
            <w:pPr>
              <w:jc w:val="left"/>
              <w:rPr>
                <w:color w:val="auto"/>
                <w:highlight w:val="none"/>
                <w:u w:val="none"/>
              </w:rPr>
            </w:pPr>
            <w:r>
              <w:rPr>
                <w:rFonts w:ascii="Times New Roman" w:hAnsi="Times New Roman" w:eastAsia="仿宋" w:cs="Times New Roman"/>
                <w:color w:val="auto"/>
                <w:kern w:val="0"/>
                <w:szCs w:val="21"/>
                <w:highlight w:val="none"/>
                <w:u w:val="none"/>
              </w:rPr>
              <w:t>12禁止农药生产。</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1《产业结构调整指导目录》中限制类项目；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2不利于生态环境保护的开荒性农业开发项目；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3缺水地区、国家生态脆弱区纸浆原料林基地建设；</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4不符合国家规划及产业政策的粮食转化乙醇、食用植物油料转化生物燃料项目；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5破坏林地、湿地、草地的开发项目；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6背负式机动喷雾喷粉机；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7手动插秧机；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8酒精生产线；</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9年加工玉米45万吨以下、绝干收率在98%以下玉米淀粉（蜡质玉米、高直链玉米等特种玉米年加工规模1万吨以下）；</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10年屠宰生猪15万头及以下、肉牛1万头及以下、肉羊15万只及以下、活禽1000万只及以下的屠宰建设项目（少数民族地区除外）；</w:t>
            </w:r>
          </w:p>
          <w:p>
            <w:pPr>
              <w:jc w:val="left"/>
              <w:rPr>
                <w:color w:val="auto"/>
                <w:highlight w:val="none"/>
                <w:u w:val="none"/>
              </w:rPr>
            </w:pPr>
            <w:r>
              <w:rPr>
                <w:rFonts w:ascii="Times New Roman" w:hAnsi="Times New Roman" w:eastAsia="仿宋" w:cs="Times New Roman"/>
                <w:color w:val="auto"/>
                <w:kern w:val="0"/>
                <w:szCs w:val="21"/>
                <w:highlight w:val="none"/>
                <w:u w:val="none"/>
              </w:rPr>
              <w:t>11 10万吨/年及以下赖氨酸、苏氨酸生产线；20万吨/年及以下谷氨酸生产线。</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1、在充分落实环保措施、对周围环境影响可接受的前提下，允许不符合空间布局的现有项目维持现状；对于其他与产业布局不符的项目，建议实施搬迁改造；</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2、用地冲突企业，在取得合法土地使用证前，禁止扩建和扩大厂区。</w:t>
            </w:r>
          </w:p>
          <w:p>
            <w:pPr>
              <w:jc w:val="left"/>
              <w:rPr>
                <w:color w:val="auto"/>
                <w:highlight w:val="none"/>
                <w:u w:val="none"/>
              </w:rPr>
            </w:pPr>
            <w:r>
              <w:rPr>
                <w:rFonts w:ascii="Times New Roman" w:hAnsi="Times New Roman" w:eastAsia="仿宋" w:cs="Times New Roman"/>
                <w:color w:val="auto"/>
                <w:kern w:val="0"/>
                <w:szCs w:val="21"/>
                <w:highlight w:val="none"/>
                <w:u w:val="none"/>
              </w:rPr>
              <w:t>3、对于对土壤造成严重污染的现有企业，现禁止扩建其产能，并逐步落实有序搬迁或依法关闭。</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2农高区按照串联用水，分质用水、一水多用和循环利用的原则，提高水资源利用率，建设节水型农高区；加快污水收集管网建设，农高区污废水基本实现全收集、全处理；</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3推进热电联产和集中供热，推进煤炭清洁利用；积极推广应用煤炭清洁高效利用和新型节能技术；</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烟气高效脱硫脱硝、除尘改造力度，确保各项污染物稳定达标排放；重点排污单位全部安装自动监控设备并与生态环境部门联网；对排放不达标的企业按照“一企一策”的原则，限期整改到位；全面加强工业无组织排放管控；</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减排，深入推进工业涂装、包装印刷等行业挥发性有机物深度治理，加强高效收集治理设施建设，实现排气筒与厂界双达标；逐步推进挥发性有机物排放重点企业、农高区治理和在线监控设施建设，推动挥发性有机物产品源头替代；推进年排放量10吨以上和泄漏点位超过2000个的重点企业建设监测、防控和处理相结合的VOCs治理体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7化工新、改扩建项目的环境影响评价，应根据国家及地方环保要求适时增设碳排放核算内容，核算碳排放量；</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8依据《关于加强高能耗、高排放建设项目生态环境源头防控的指导意见》（环环评〔2021〕45号）的相关要求，新建、扩建“两高”项目应采用先进适用的工艺技术和装备，单位产品物耗、能耗、水耗等达到清洁生产先进水平。</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39"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推动单台容量25兆瓦（35蒸吨/小时）及以上燃煤供热锅炉实施超低排放改造。按照国家、省政策的调整和要求，逐步开展燃煤锅炉淘汰工作。</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39" w:type="pct"/>
            <w:tcBorders>
              <w:left w:val="single" w:color="auto" w:sz="4" w:space="0"/>
              <w:right w:val="single" w:color="auto" w:sz="4" w:space="0"/>
            </w:tcBorders>
            <w:shd w:val="clear" w:color="auto" w:fill="auto"/>
            <w:vAlign w:val="center"/>
          </w:tcPr>
          <w:p>
            <w:pPr>
              <w:jc w:val="left"/>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1农高区管委会协助落实土壤污染重点监管企业污染隐患排查、自行监测、拆除生产设备污染防治方案备案等制度；</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成立农高区应急组织机构，建立环境风险应急防控体系，定期开展应急演练，提高区域环境风险防范能力；</w:t>
            </w:r>
          </w:p>
          <w:p>
            <w:pPr>
              <w:jc w:val="left"/>
              <w:rPr>
                <w:color w:val="auto"/>
                <w:highlight w:val="none"/>
                <w:u w:val="none"/>
              </w:rPr>
            </w:pPr>
            <w:r>
              <w:rPr>
                <w:rFonts w:ascii="Times New Roman" w:hAnsi="Times New Roman" w:eastAsia="仿宋" w:cs="Times New Roman"/>
                <w:color w:val="auto"/>
                <w:kern w:val="0"/>
                <w:szCs w:val="21"/>
                <w:highlight w:val="none"/>
                <w:u w:val="none"/>
              </w:rPr>
              <w:t>严格管理涉及易导致环境风险的有毒有害和易燃易爆物质的生产、使用、排放、贮运等新建、改扩建项目。</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1区内企业应建立完善风险防范体系及风险防范措施，做好与农高区的联动；制定应急预案并及时修编，定期演练，加强对于风险防范措施的维护，保证措施有效、应急物质充足；</w:t>
            </w:r>
          </w:p>
          <w:p>
            <w:pPr>
              <w:jc w:val="left"/>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w:t>
            </w:r>
            <w:r>
              <w:rPr>
                <w:rFonts w:hint="eastAsia" w:ascii="Times New Roman" w:hAnsi="Times New Roman" w:eastAsia="仿宋" w:cs="Times New Roman"/>
                <w:color w:val="auto"/>
                <w:kern w:val="0"/>
                <w:szCs w:val="21"/>
                <w:highlight w:val="none"/>
                <w:u w:val="none"/>
                <w:lang w:eastAsia="zh-CN"/>
              </w:rPr>
              <w:t>；</w:t>
            </w:r>
            <w:r>
              <w:rPr>
                <w:rFonts w:ascii="Times New Roman" w:hAnsi="Times New Roman" w:eastAsia="仿宋" w:cs="Times New Roman"/>
                <w:color w:val="auto"/>
                <w:kern w:val="0"/>
                <w:szCs w:val="21"/>
                <w:highlight w:val="none"/>
                <w:u w:val="none"/>
              </w:rPr>
              <w:t xml:space="preserve"> 涉有毒有害大气污染物名录的企业应在厂界建设针对有毒有害特征污染物的环境风险预警体系，确保发生事故能够及时响应。</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12" w:type="dxa"/>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7357" w:type="dxa"/>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农高区按照串联用水，分质用水、一水多用和循环利用的原则，提高水资源利用率，建设节水型园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2</w:t>
            </w:r>
            <w:r>
              <w:rPr>
                <w:rFonts w:hint="eastAsia" w:ascii="Times New Roman" w:eastAsia="仿宋"/>
                <w:color w:val="auto"/>
                <w:kern w:val="0"/>
                <w:szCs w:val="21"/>
                <w:highlight w:val="none"/>
                <w:u w:val="none"/>
              </w:rPr>
              <w:t>用水量、水资源利用效率等指标完成上级部门下达的任务要求。</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21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7357" w:type="dxa"/>
            <w:tcBorders>
              <w:left w:val="single" w:color="auto" w:sz="4" w:space="0"/>
              <w:right w:val="single" w:color="auto" w:sz="4" w:space="0"/>
            </w:tcBorders>
            <w:shd w:val="clear" w:color="auto" w:fill="auto"/>
            <w:vAlign w:val="center"/>
          </w:tcPr>
          <w:p>
            <w:pPr>
              <w:jc w:val="left"/>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21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7357" w:type="dxa"/>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2212" w:type="dxa"/>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7357" w:type="dxa"/>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color w:val="auto"/>
                <w:highlight w:val="none"/>
                <w:u w:val="none"/>
              </w:rPr>
            </w:pPr>
            <w:r>
              <w:rPr>
                <w:rFonts w:ascii="Times New Roman" w:hAnsi="Times New Roman" w:eastAsia="仿宋" w:cs="Times New Roman"/>
                <w:color w:val="auto"/>
                <w:kern w:val="0"/>
                <w:szCs w:val="21"/>
                <w:highlight w:val="none"/>
                <w:u w:val="none"/>
              </w:rPr>
              <w:t>2禁燃区内禁止新建、扩建燃用高污染燃料的锅炉、窑炉等燃烧设施（单台额定功率29MW及以上的集中供热锅炉、热电联产锅炉除外）。</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trPr>
        <w:tc>
          <w:tcPr>
            <w:tcW w:w="445"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ZH22038120003</w:t>
            </w:r>
          </w:p>
        </w:tc>
        <w:tc>
          <w:tcPr>
            <w:tcW w:w="530"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吉林公主岭经济开发区</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Cs/>
                <w:color w:val="auto"/>
                <w:kern w:val="0"/>
                <w:sz w:val="20"/>
                <w:szCs w:val="20"/>
                <w:highlight w:val="none"/>
                <w:u w:val="none"/>
              </w:rPr>
              <w:t>空间布局约束</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允许开发建设活动</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1鼓励清洁生产型、高新技术型和节水节能型企业入驻，鼓励新建企业清洁生产水平达到国际先进水平；</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2严格按照区域国土空间规划合理选择项目用地；</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3严格按照产业政策、行业发展规划、产业定位要求选择落区项目；</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w:t>
            </w:r>
            <w:r>
              <w:rPr>
                <w:rFonts w:hint="eastAsia" w:ascii="Times New Roman" w:hAnsi="Times New Roman" w:eastAsia="仿宋" w:cs="Times New Roman"/>
                <w:color w:val="auto"/>
                <w:kern w:val="0"/>
                <w:szCs w:val="21"/>
                <w:highlight w:val="none"/>
                <w:u w:val="none"/>
              </w:rPr>
              <w:t>入区项目生产工艺、装备技术水平等应达到国内同行业先进水平</w:t>
            </w:r>
            <w:r>
              <w:rPr>
                <w:rFonts w:ascii="Times New Roman" w:hAnsi="Times New Roman" w:eastAsia="仿宋" w:cs="Times New Roman"/>
                <w:color w:val="auto"/>
                <w:kern w:val="0"/>
                <w:szCs w:val="21"/>
                <w:highlight w:val="none"/>
                <w:u w:val="none"/>
              </w:rPr>
              <w:t>；水耗指标应达到清洁生产一级水平(国际先进水平)或二级水平(国内先进水平)；</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5</w:t>
            </w:r>
            <w:r>
              <w:rPr>
                <w:rFonts w:hint="eastAsia" w:ascii="Times New Roman" w:hAnsi="Times New Roman" w:eastAsia="仿宋" w:cs="Times New Roman"/>
                <w:color w:val="auto"/>
                <w:kern w:val="0"/>
                <w:szCs w:val="21"/>
                <w:highlight w:val="none"/>
                <w:u w:val="none"/>
              </w:rPr>
              <w:t>重点发展汽车、轨道客车及零部件等相关现代制造业、现代物流业、综合服务业等相关产业（其中现代物流业、综合服务业主要围绕汽车及零部件生产等相关行业）</w:t>
            </w:r>
            <w:r>
              <w:rPr>
                <w:rFonts w:ascii="Times New Roman" w:hAnsi="Times New Roman" w:eastAsia="仿宋" w:cs="Times New Roman"/>
                <w:color w:val="auto"/>
                <w:kern w:val="0"/>
                <w:szCs w:val="21"/>
                <w:highlight w:val="none"/>
                <w:u w:val="none"/>
              </w:rPr>
              <w:t>。</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大气环境高排放重点管控区、水环境工业污染重点管控区、建设用地污染风险重点管控区</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功能定位：</w:t>
            </w:r>
            <w:r>
              <w:rPr>
                <w:rFonts w:ascii="Times New Roman" w:hAnsi="Times New Roman" w:eastAsia="仿宋" w:cs="Times New Roman"/>
                <w:bCs/>
                <w:color w:val="auto"/>
                <w:kern w:val="0"/>
                <w:sz w:val="20"/>
                <w:szCs w:val="20"/>
                <w:highlight w:val="none"/>
                <w:u w:val="none"/>
              </w:rPr>
              <w:t>将公主岭经济开发区通过产业集聚与结构升级，使开发区成为公主岭市新经济增长的重点区域，公主岭产业结构升级的助推器、推动公主岭市经济增长的核心引擎；加快推进四平市与长春市的对接进程。</w:t>
            </w:r>
          </w:p>
          <w:p>
            <w:pPr>
              <w:jc w:val="left"/>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主导产业：</w:t>
            </w:r>
            <w:r>
              <w:rPr>
                <w:rFonts w:ascii="Times New Roman" w:hAnsi="Times New Roman" w:eastAsia="仿宋" w:cs="Times New Roman"/>
                <w:bCs/>
                <w:color w:val="auto"/>
                <w:kern w:val="0"/>
                <w:sz w:val="20"/>
                <w:szCs w:val="20"/>
                <w:highlight w:val="none"/>
                <w:u w:val="none"/>
              </w:rPr>
              <w:t>汽车、轨道客车及零部件等相关现代制造业、现代物流业、综合服务业等相关产业（其中现代物流业、综合服务业主要围绕汽车及零部件生产相关行业）。</w:t>
            </w:r>
          </w:p>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园区规划环评、基于“三线”研究成果，结合《污染地块土壤环境管理办法（试行）》《土壤污染防治行动计划》《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禁止开发建设活动</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highlight w:val="none"/>
                <w:u w:val="none"/>
              </w:rPr>
            </w:pPr>
            <w:r>
              <w:rPr>
                <w:rFonts w:ascii="Times New Roman" w:hAnsi="Times New Roman" w:eastAsia="仿宋" w:cs="Times New Roman"/>
                <w:color w:val="auto"/>
                <w:highlight w:val="none"/>
                <w:u w:val="none"/>
              </w:rPr>
              <w:t>1《产业结构调整指导目录》中“淘汰类”项目，“限制类”项目（不包括产能置换、技术升级改造项目）；</w:t>
            </w:r>
          </w:p>
          <w:p>
            <w:pPr>
              <w:rPr>
                <w:rFonts w:ascii="Times New Roman" w:hAnsi="Times New Roman" w:eastAsia="仿宋" w:cs="Times New Roman"/>
                <w:color w:val="auto"/>
                <w:highlight w:val="none"/>
                <w:u w:val="none"/>
              </w:rPr>
            </w:pPr>
            <w:r>
              <w:rPr>
                <w:rFonts w:hint="eastAsia" w:ascii="Times New Roman" w:hAnsi="Times New Roman" w:eastAsia="仿宋" w:cs="Times New Roman"/>
                <w:color w:val="auto"/>
                <w:highlight w:val="none"/>
                <w:u w:val="none"/>
                <w:lang w:val="en-US" w:eastAsia="zh-CN"/>
              </w:rPr>
              <w:t>2</w:t>
            </w:r>
            <w:r>
              <w:rPr>
                <w:rFonts w:ascii="Times New Roman" w:hAnsi="Times New Roman" w:eastAsia="仿宋" w:cs="Times New Roman"/>
                <w:color w:val="auto"/>
                <w:highlight w:val="none"/>
                <w:u w:val="none"/>
              </w:rPr>
              <w:t>禁止进行违反城市蓝线保护和控制要求的建设活动；</w:t>
            </w:r>
          </w:p>
          <w:p>
            <w:pPr>
              <w:rPr>
                <w:rFonts w:ascii="Times New Roman" w:hAnsi="Times New Roman" w:eastAsia="仿宋" w:cs="Times New Roman"/>
                <w:color w:val="auto"/>
                <w:highlight w:val="none"/>
                <w:u w:val="none"/>
              </w:rPr>
            </w:pPr>
            <w:r>
              <w:rPr>
                <w:rFonts w:hint="eastAsia" w:ascii="Times New Roman" w:hAnsi="Times New Roman" w:eastAsia="仿宋" w:cs="Times New Roman"/>
                <w:color w:val="auto"/>
                <w:highlight w:val="none"/>
                <w:u w:val="none"/>
                <w:lang w:val="en-US" w:eastAsia="zh-CN"/>
              </w:rPr>
              <w:t>3</w:t>
            </w:r>
            <w:r>
              <w:rPr>
                <w:rFonts w:ascii="Times New Roman" w:hAnsi="Times New Roman" w:eastAsia="仿宋" w:cs="Times New Roman"/>
                <w:color w:val="auto"/>
                <w:highlight w:val="none"/>
                <w:u w:val="none"/>
              </w:rPr>
              <w:t>城市建成区原则上不再新建单台容量29兆瓦（40蒸吨/小时）以下燃煤锅炉，其他区域原则上不再新建单台容量14兆瓦（20蒸吨/小时）以下的燃煤锅炉；</w:t>
            </w:r>
          </w:p>
          <w:p>
            <w:pPr>
              <w:rPr>
                <w:rFonts w:ascii="Times New Roman" w:hAnsi="Times New Roman" w:eastAsia="仿宋" w:cs="Times New Roman"/>
                <w:color w:val="auto"/>
                <w:highlight w:val="none"/>
                <w:u w:val="none"/>
              </w:rPr>
            </w:pPr>
            <w:r>
              <w:rPr>
                <w:rFonts w:hint="eastAsia" w:ascii="Times New Roman" w:hAnsi="Times New Roman" w:eastAsia="仿宋" w:cs="Times New Roman"/>
                <w:color w:val="auto"/>
                <w:highlight w:val="none"/>
                <w:u w:val="none"/>
                <w:lang w:val="en-US" w:eastAsia="zh-CN"/>
              </w:rPr>
              <w:t>4</w:t>
            </w:r>
            <w:r>
              <w:rPr>
                <w:rFonts w:ascii="Times New Roman" w:hAnsi="Times New Roman" w:eastAsia="仿宋" w:cs="Times New Roman"/>
                <w:color w:val="auto"/>
                <w:highlight w:val="none"/>
                <w:u w:val="none"/>
              </w:rPr>
              <w:t>城市绿线内的用地，不得改作他用，不得违反法律法规、强制性标准以及批准的规划进行开发建设；</w:t>
            </w:r>
          </w:p>
          <w:p>
            <w:pPr>
              <w:rPr>
                <w:color w:val="auto"/>
                <w:highlight w:val="none"/>
                <w:u w:val="none"/>
              </w:rPr>
            </w:pPr>
            <w:r>
              <w:rPr>
                <w:rFonts w:hint="eastAsia" w:ascii="Times New Roman" w:hAnsi="Times New Roman" w:eastAsia="仿宋" w:cs="Times New Roman"/>
                <w:color w:val="auto"/>
                <w:highlight w:val="none"/>
                <w:u w:val="none"/>
                <w:lang w:val="en-US" w:eastAsia="zh-CN"/>
              </w:rPr>
              <w:t>5</w:t>
            </w:r>
            <w:r>
              <w:rPr>
                <w:rFonts w:hint="eastAsia" w:ascii="Times New Roman" w:hAnsi="Times New Roman" w:eastAsia="仿宋" w:cs="Times New Roman"/>
                <w:color w:val="auto"/>
                <w:highlight w:val="none"/>
                <w:u w:val="none"/>
              </w:rPr>
              <w:t>其他禁止引入的项目：生物化工园区--取缔两处生物化工园区，该片区用于发展本清单允许开发建设活动</w:t>
            </w:r>
            <w:r>
              <w:rPr>
                <w:rFonts w:ascii="Times New Roman" w:hAnsi="Times New Roman" w:eastAsia="仿宋" w:cs="Times New Roman"/>
                <w:color w:val="auto"/>
                <w:highlight w:val="none"/>
                <w:u w:val="none"/>
              </w:rPr>
              <w:t>。</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限制开发建设活动</w:t>
            </w:r>
          </w:p>
        </w:tc>
        <w:tc>
          <w:tcPr>
            <w:tcW w:w="17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产业结构调整指导目录》中”限制类”项目，依据《国务院关于发布实施&lt;促进产业结构调整暂行规定&gt;的决定》（国发〔2005〕40号），“对属于限制类的新建项目，禁止投资。对属于限制类的现有生产能力，允许企业在一定期限内采取措施改造升级仅允许产能置换、技术升级改造项目”；（根据法律法规等要求同步调整）</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w:t>
            </w:r>
            <w:r>
              <w:rPr>
                <w:rFonts w:hint="eastAsia" w:ascii="Times New Roman" w:hAnsi="Times New Roman" w:eastAsia="仿宋" w:cs="Times New Roman"/>
                <w:color w:val="auto"/>
                <w:kern w:val="0"/>
                <w:szCs w:val="21"/>
                <w:highlight w:val="none"/>
                <w:u w:val="none"/>
              </w:rPr>
              <w:t>严格限制排放大气污染物较多及大气污染污染较重的工业企业项目入驻开发区</w:t>
            </w:r>
            <w:r>
              <w:rPr>
                <w:rFonts w:ascii="Times New Roman" w:hAnsi="Times New Roman" w:eastAsia="仿宋" w:cs="Times New Roman"/>
                <w:color w:val="auto"/>
                <w:kern w:val="0"/>
                <w:szCs w:val="21"/>
                <w:highlight w:val="none"/>
                <w:u w:val="none"/>
              </w:rPr>
              <w:t>；</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3严格限制耗水量大的项目入区；</w:t>
            </w:r>
          </w:p>
          <w:p>
            <w:pPr>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4其他限制入区项目：</w:t>
            </w:r>
          </w:p>
          <w:p>
            <w:pPr>
              <w:pStyle w:val="50"/>
              <w:ind w:firstLine="0" w:firstLineChars="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①粉尘排放量较大的建材项目；</w:t>
            </w:r>
          </w:p>
          <w:p>
            <w:pPr>
              <w:pStyle w:val="50"/>
              <w:ind w:firstLine="0" w:firstLineChars="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②废水排放量大的生产项目；</w:t>
            </w:r>
          </w:p>
          <w:p>
            <w:pPr>
              <w:pStyle w:val="50"/>
              <w:ind w:firstLine="0" w:firstLineChars="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③含难以降噪的高噪声设备的生产项目；</w:t>
            </w:r>
          </w:p>
          <w:p>
            <w:pPr>
              <w:pStyle w:val="50"/>
              <w:ind w:firstLine="0" w:firstLineChars="0"/>
              <w:jc w:val="left"/>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④玻璃及玻璃制品制造进入新型建材园区；</w:t>
            </w:r>
          </w:p>
          <w:p>
            <w:pPr>
              <w:pStyle w:val="50"/>
              <w:ind w:firstLine="0" w:firstLineChars="0"/>
              <w:jc w:val="left"/>
              <w:rPr>
                <w:color w:val="auto"/>
                <w:highlight w:val="none"/>
                <w:u w:val="none"/>
              </w:rPr>
            </w:pPr>
            <w:r>
              <w:rPr>
                <w:rFonts w:hint="eastAsia" w:ascii="宋体" w:hAnsi="宋体" w:eastAsia="宋体" w:cs="宋体"/>
                <w:color w:val="auto"/>
                <w:kern w:val="0"/>
                <w:szCs w:val="21"/>
                <w:highlight w:val="none"/>
                <w:u w:val="none"/>
              </w:rPr>
              <w:t>⑤</w:t>
            </w:r>
            <w:r>
              <w:rPr>
                <w:rFonts w:ascii="Times New Roman" w:hAnsi="Times New Roman" w:eastAsia="仿宋" w:cs="Times New Roman"/>
                <w:color w:val="auto"/>
                <w:kern w:val="0"/>
                <w:szCs w:val="21"/>
                <w:highlight w:val="none"/>
                <w:u w:val="none"/>
              </w:rPr>
              <w:t>废气污染相对较大的行业</w:t>
            </w:r>
            <w:r>
              <w:rPr>
                <w:rFonts w:hint="eastAsia" w:ascii="Times New Roman" w:hAnsi="Times New Roman" w:eastAsia="仿宋" w:cs="Times New Roman"/>
                <w:color w:val="auto"/>
                <w:kern w:val="0"/>
                <w:szCs w:val="21"/>
                <w:highlight w:val="none"/>
                <w:u w:val="none"/>
              </w:rPr>
              <w:t>。</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8"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不符合空间布局活动的退出要求</w:t>
            </w:r>
          </w:p>
        </w:tc>
        <w:tc>
          <w:tcPr>
            <w:tcW w:w="1739" w:type="pct"/>
            <w:tcBorders>
              <w:left w:val="single" w:color="auto" w:sz="4" w:space="0"/>
              <w:right w:val="single" w:color="auto" w:sz="4" w:space="0"/>
            </w:tcBorders>
            <w:shd w:val="clear" w:color="auto" w:fill="auto"/>
            <w:vAlign w:val="center"/>
          </w:tcPr>
          <w:p>
            <w:pPr>
              <w:jc w:val="left"/>
              <w:rPr>
                <w:color w:val="auto"/>
                <w:highlight w:val="none"/>
                <w:u w:val="none"/>
              </w:rPr>
            </w:pPr>
            <w:r>
              <w:rPr>
                <w:rFonts w:ascii="Times New Roman" w:hAnsi="Times New Roman" w:eastAsia="仿宋" w:cs="Times New Roman"/>
                <w:color w:val="auto"/>
                <w:kern w:val="0"/>
                <w:szCs w:val="21"/>
                <w:highlight w:val="none"/>
                <w:u w:val="none"/>
              </w:rPr>
              <w:t>在充分落实环保措施、对周围环境影响可接受的前提下，推动不符合空间布局的现状企业逐步更址或退出，对停产且不符合空间布局的企业建议退出代换；</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总量控制和污染物减排</w:t>
            </w:r>
          </w:p>
        </w:tc>
        <w:tc>
          <w:tcPr>
            <w:tcW w:w="1739"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1协调推进重点污染物减排方案的制定，配合区域完成节能减排目标，明确责任主体，落实工作措施，严格控制污染物排放总量；</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2开发区按照串联用水，分质用水、一水多用和循环利用的原则，提高水资源利用率，建设节水型开发区；加快全区污水收集管网建设，开发区污废水基本实现全收集、全处理；</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w:t>
            </w:r>
            <w:r>
              <w:rPr>
                <w:rFonts w:hint="eastAsia" w:ascii="Times New Roman" w:hAnsi="Times New Roman" w:eastAsia="仿宋" w:cs="Times New Roman"/>
                <w:color w:val="auto"/>
                <w:kern w:val="0"/>
                <w:szCs w:val="21"/>
                <w:highlight w:val="none"/>
                <w:u w:val="none"/>
              </w:rPr>
              <w:t>对开发区企业鼓励采用集中供暖，或使用电、天然气或其他清洁能源</w:t>
            </w:r>
            <w:r>
              <w:rPr>
                <w:rFonts w:ascii="Times New Roman" w:hAnsi="Times New Roman" w:eastAsia="仿宋" w:cs="Times New Roman"/>
                <w:color w:val="auto"/>
                <w:kern w:val="0"/>
                <w:szCs w:val="21"/>
                <w:highlight w:val="none"/>
                <w:u w:val="none"/>
              </w:rPr>
              <w:t>；</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4强化源头防控，鼓励企业采用先进适用的清洁生产原料、技术、工艺和装备；对排放强度高的重污染行业实施清洁化改造，新建项目主要污染物全面执行大气污染物特别排放限值，执行期限根据大气环境质量状况和相关文件要求确定；</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5加大工业污染源废气治理，确保各项污染物稳定达标排放；</w:t>
            </w:r>
            <w:r>
              <w:rPr>
                <w:rFonts w:hint="eastAsia" w:ascii="Times New Roman" w:hAnsi="Times New Roman" w:eastAsia="仿宋" w:cs="Times New Roman"/>
                <w:color w:val="auto"/>
                <w:kern w:val="0"/>
                <w:szCs w:val="21"/>
                <w:highlight w:val="none"/>
                <w:u w:val="none"/>
              </w:rPr>
              <w:t>重点排污单位依法安装自动监控设备并与生态环境部门联网</w:t>
            </w:r>
            <w:r>
              <w:rPr>
                <w:rFonts w:ascii="Times New Roman" w:hAnsi="Times New Roman" w:eastAsia="仿宋" w:cs="Times New Roman"/>
                <w:color w:val="auto"/>
                <w:kern w:val="0"/>
                <w:szCs w:val="21"/>
                <w:highlight w:val="none"/>
                <w:u w:val="none"/>
              </w:rPr>
              <w:t>；对排放不达标的企业按照“一企一策”的原则，限期整改到位；全面加强工业无组织排放管控；</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6全面推进挥发性有机物总量控制要求及减排措施，深入推进工业涂装等行业挥发性有机物深度治理，加强高效收集治理设施建设，实现排气筒与厂界双达标；逐步推进挥发性有机物排放重点企业、开发区治理和在线监控设施建设，推动挥发性有机物产品源头替代；推进年排放量10吨以上和泄漏点位超过2000个的重点企业建设监测、防控和处理相结合的VOCs治理体系；</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7重点行业污染治理升级改造，推进各类园区循环化改造；强化堆场扬尘控制；</w:t>
            </w:r>
          </w:p>
          <w:p>
            <w:pPr>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8强化能耗和二氧化碳排放双控制度。坚持节能优先，严格控制能耗和二氧化碳排放强度，合理控制能源消费总量，探索推进二氧化碳排放总量控制；</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Cs w:val="21"/>
                <w:highlight w:val="none"/>
                <w:u w:val="none"/>
              </w:rPr>
              <w:t>9持续推进工业等重点领域节能降耗，推广应用高效节能新工艺、新技术、新产品。健全重点用能单位能源管理体系，落实节能管理和目标责任。加强能效对标达标，开展节能降碳改造升级。</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现有源提标升级改造</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color w:val="auto"/>
                <w:kern w:val="0"/>
                <w:szCs w:val="21"/>
                <w:highlight w:val="none"/>
                <w:u w:val="none"/>
              </w:rPr>
              <w:t>推动单台容量25兆瓦（35蒸吨/小时）及以上燃煤供热锅炉实施超低排放改造。按照最新的政策要求，逐步开展燃煤锅炉淘汰工作。</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新增源排放限制</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重点行业建设</w:t>
            </w:r>
            <w:r>
              <w:rPr>
                <w:rFonts w:ascii="Times New Roman" w:hAnsi="Times New Roman" w:eastAsia="仿宋" w:cs="Times New Roman"/>
                <w:color w:val="auto"/>
                <w:szCs w:val="21"/>
                <w:highlight w:val="none"/>
                <w:u w:val="none"/>
              </w:rPr>
              <w:t>项目</w:t>
            </w:r>
            <w:r>
              <w:rPr>
                <w:rFonts w:hint="eastAsia" w:ascii="Times New Roman" w:hAnsi="Times New Roman" w:eastAsia="仿宋" w:cs="Times New Roman"/>
                <w:color w:val="auto"/>
                <w:szCs w:val="21"/>
                <w:highlight w:val="none"/>
                <w:u w:val="none"/>
              </w:rPr>
              <w:t>执行</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关于加强重点行业建设项目区域削减措施监督管理的通知</w:t>
            </w:r>
            <w:r>
              <w:rPr>
                <w:rFonts w:ascii="Times New Roman" w:hAnsi="Times New Roman" w:eastAsia="仿宋" w:cs="Times New Roman"/>
                <w:color w:val="auto"/>
                <w:szCs w:val="21"/>
                <w:highlight w:val="none"/>
                <w:u w:val="none"/>
              </w:rPr>
              <w:t>》</w:t>
            </w:r>
            <w:r>
              <w:rPr>
                <w:rFonts w:hint="eastAsia" w:ascii="Times New Roman" w:hAnsi="Times New Roman" w:eastAsia="仿宋" w:cs="Times New Roman"/>
                <w:color w:val="auto"/>
                <w:szCs w:val="21"/>
                <w:highlight w:val="none"/>
                <w:u w:val="none"/>
              </w:rPr>
              <w:t>以及吉林省总量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用地环境风险防控要求</w:t>
            </w:r>
          </w:p>
        </w:tc>
        <w:tc>
          <w:tcPr>
            <w:tcW w:w="17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1开发区管委会协助落实土壤污染重点监管企业污染隐患排查、自行监测、拆除生产设备污染防治方案备案等制度；</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3土壤环境污染重点监管企业落实《工矿用地土壤环境管理办法（试行）》要求，实施项目环评、设计建设、拆除设施、终止经营全生命周期土壤和地下水污染防治；</w:t>
            </w:r>
          </w:p>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4严格管理涉及易导致环境风险的有毒有害和易燃易爆物质的生产、使用、排放、贮运等新建、改扩建项目。</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园区环境风险防控要求</w:t>
            </w:r>
          </w:p>
        </w:tc>
        <w:tc>
          <w:tcPr>
            <w:tcW w:w="17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成立开发区应急组织机构，建立环境风险应急防控体系，定期开展应急演练，提高区域环境风险防范能力，按时完成开发区突发环境事件应急预案修编。</w:t>
            </w:r>
          </w:p>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建立突发环境事件联动机制，事故状态下开发区应急组织机构与政府主管部门联动，及时组织调动事故专家、物资装备和专业救援队伍等力量参与应急处置，实现应急救援支援力量联动和统一指挥调度，能在突发环境事件发生后及时通报可能受到污染危害的单位和居民。</w:t>
            </w:r>
          </w:p>
          <w:p>
            <w:pPr>
              <w:widowControl/>
              <w:rPr>
                <w:color w:val="auto"/>
                <w:highlight w:val="none"/>
                <w:u w:val="none"/>
              </w:rPr>
            </w:pPr>
            <w:r>
              <w:rPr>
                <w:rFonts w:ascii="Times New Roman" w:hAnsi="Times New Roman" w:eastAsia="仿宋" w:cs="Times New Roman"/>
                <w:color w:val="auto"/>
                <w:kern w:val="0"/>
                <w:szCs w:val="21"/>
                <w:highlight w:val="none"/>
                <w:u w:val="none"/>
              </w:rPr>
              <w:t>健全开发区环境风险防控工程。建立企业、开发区和周边水系环境风险防控体系，建设完善的环境风险防控设施，建设能够有效防止泄漏物以及消防废水等进入开发区外环境的拦截措施。</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445" w:type="pct"/>
            <w:vMerge w:val="continue"/>
            <w:shd w:val="clear" w:color="auto" w:fill="auto"/>
            <w:vAlign w:val="center"/>
          </w:tcPr>
          <w:p>
            <w:pPr>
              <w:jc w:val="left"/>
              <w:rPr>
                <w:color w:val="auto"/>
                <w:highlight w:val="none"/>
                <w:u w:val="none"/>
              </w:rPr>
            </w:pPr>
          </w:p>
        </w:tc>
        <w:tc>
          <w:tcPr>
            <w:tcW w:w="530" w:type="pct"/>
            <w:vMerge w:val="continue"/>
            <w:shd w:val="clear" w:color="auto" w:fill="auto"/>
            <w:vAlign w:val="center"/>
          </w:tcPr>
          <w:p>
            <w:pPr>
              <w:jc w:val="left"/>
              <w:rPr>
                <w:color w:val="auto"/>
                <w:highlight w:val="none"/>
                <w:u w:val="none"/>
              </w:rPr>
            </w:pPr>
          </w:p>
        </w:tc>
        <w:tc>
          <w:tcPr>
            <w:tcW w:w="404" w:type="pct"/>
            <w:vMerge w:val="continue"/>
            <w:tcBorders>
              <w:right w:val="single" w:color="auto" w:sz="4" w:space="0"/>
            </w:tcBorders>
            <w:shd w:val="clear" w:color="auto" w:fill="auto"/>
            <w:vAlign w:val="center"/>
          </w:tcPr>
          <w:p>
            <w:pPr>
              <w:jc w:val="left"/>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jc w:val="left"/>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企业环境风险防控要求</w:t>
            </w:r>
          </w:p>
        </w:tc>
        <w:tc>
          <w:tcPr>
            <w:tcW w:w="17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Cs w:val="21"/>
                <w:highlight w:val="none"/>
                <w:u w:val="none"/>
              </w:rPr>
            </w:pPr>
            <w:r>
              <w:rPr>
                <w:rFonts w:ascii="Times New Roman" w:hAnsi="Times New Roman" w:eastAsia="仿宋" w:cs="Times New Roman"/>
                <w:color w:val="auto"/>
                <w:kern w:val="0"/>
                <w:szCs w:val="21"/>
                <w:highlight w:val="none"/>
                <w:u w:val="none"/>
              </w:rPr>
              <w:t>1区内企业应建立完善风险防范体系及风险防范措施，做好与开发区的联动；制定突发环境事件应急预案并及时修编，定期演练，加强对于风险防范措施的维护，保证措施有效、应急物质充足；</w:t>
            </w:r>
          </w:p>
          <w:p>
            <w:pPr>
              <w:rPr>
                <w:color w:val="auto"/>
                <w:highlight w:val="none"/>
                <w:u w:val="none"/>
              </w:rPr>
            </w:pPr>
            <w:r>
              <w:rPr>
                <w:rFonts w:ascii="Times New Roman" w:hAnsi="Times New Roman" w:eastAsia="仿宋" w:cs="Times New Roman"/>
                <w:color w:val="auto"/>
                <w:kern w:val="0"/>
                <w:szCs w:val="21"/>
                <w:highlight w:val="none"/>
                <w:u w:val="none"/>
              </w:rPr>
              <w:t>2企业应按照环评文件及批复等相关文件要求设置风险防范措施（有毒有害物质泄漏预警设施、围堤围堰、事故应急池、切换阀等），确保所有受污染的雨水、消防水和泄漏物等通过排水系统接入应急池或全部收集，所收集的废（污）水自行或送至污水处理设施处理达标后方可排放；涉有毒有害大气污染物名录的企业应在厂界建设针对有毒有害特征污染物的环境风险预警体系，确保发生事故能够及时响应。</w:t>
            </w:r>
          </w:p>
        </w:tc>
        <w:tc>
          <w:tcPr>
            <w:tcW w:w="926" w:type="pct"/>
            <w:vMerge w:val="continue"/>
            <w:tcBorders>
              <w:left w:val="single" w:color="auto" w:sz="4" w:space="0"/>
              <w:right w:val="single" w:color="auto" w:sz="4" w:space="0"/>
            </w:tcBorders>
            <w:vAlign w:val="center"/>
          </w:tcPr>
          <w:p>
            <w:pPr>
              <w:jc w:val="left"/>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5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Cs w:val="21"/>
                <w:highlight w:val="none"/>
                <w:u w:val="none"/>
              </w:rPr>
              <w:t>水资源利用效率要求</w:t>
            </w:r>
          </w:p>
        </w:tc>
        <w:tc>
          <w:tcPr>
            <w:tcW w:w="1739" w:type="pct"/>
            <w:tcBorders>
              <w:left w:val="single" w:color="auto" w:sz="4" w:space="0"/>
              <w:right w:val="single" w:color="auto" w:sz="4" w:space="0"/>
            </w:tcBorders>
            <w:shd w:val="clear" w:color="auto" w:fill="auto"/>
            <w:vAlign w:val="center"/>
          </w:tcPr>
          <w:p>
            <w:pPr>
              <w:pStyle w:val="18"/>
              <w:spacing w:line="240" w:lineRule="auto"/>
              <w:ind w:firstLine="0" w:firstLineChars="0"/>
              <w:rPr>
                <w:rFonts w:ascii="Times New Roman" w:eastAsia="仿宋"/>
                <w:color w:val="auto"/>
                <w:spacing w:val="0"/>
                <w:kern w:val="0"/>
                <w:sz w:val="21"/>
                <w:szCs w:val="21"/>
                <w:highlight w:val="none"/>
                <w:u w:val="none"/>
              </w:rPr>
            </w:pPr>
            <w:r>
              <w:rPr>
                <w:rFonts w:ascii="Times New Roman" w:eastAsia="仿宋"/>
                <w:color w:val="auto"/>
                <w:spacing w:val="0"/>
                <w:kern w:val="0"/>
                <w:sz w:val="21"/>
                <w:szCs w:val="21"/>
                <w:highlight w:val="none"/>
                <w:u w:val="none"/>
              </w:rPr>
              <w:t>1开发区企业按照串联用水，分质用水、一水多用和循环利用的原则，提高水资源利用率，建设节水型开发区；积极推行水循环梯级利用，开展以节水为重点内容的绿色高质量转型升级和循环化改造，加快节水及水循环利用设施建设，要统筹供排水、水处理及水梯级循环利用设施建设，实现公共设施共建共享。鼓励企业间的串联用水和循环利用；</w:t>
            </w:r>
          </w:p>
          <w:p>
            <w:pPr>
              <w:pStyle w:val="18"/>
              <w:spacing w:line="240" w:lineRule="auto"/>
              <w:ind w:firstLine="0" w:firstLineChars="0"/>
              <w:rPr>
                <w:rFonts w:ascii="Times New Roman" w:hAnsi="Times New Roman" w:eastAsia="仿宋" w:cs="Times New Roman"/>
                <w:color w:val="auto"/>
                <w:kern w:val="0"/>
                <w:sz w:val="20"/>
                <w:szCs w:val="20"/>
                <w:highlight w:val="none"/>
                <w:u w:val="none"/>
              </w:rPr>
            </w:pPr>
            <w:r>
              <w:rPr>
                <w:rFonts w:hint="eastAsia" w:ascii="Times New Roman" w:eastAsia="仿宋"/>
                <w:color w:val="auto"/>
                <w:spacing w:val="0"/>
                <w:kern w:val="0"/>
                <w:sz w:val="21"/>
                <w:szCs w:val="21"/>
                <w:highlight w:val="none"/>
                <w:u w:val="none"/>
              </w:rPr>
              <w:t>2用水量、水资源利用效率等指标完成上级部门下达的任务要求。</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地下水开采要求</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hint="eastAsia" w:ascii="Times New Roman" w:hAnsi="Times New Roman" w:eastAsia="仿宋" w:cs="Times New Roman"/>
                <w:color w:val="auto"/>
                <w:szCs w:val="21"/>
                <w:highlight w:val="none"/>
                <w:u w:val="none"/>
              </w:rPr>
              <w:t>严控地下水开采，加快区内供水管网建设，集中供水管网覆盖区域不得私自取用地下水。以水定产，避免区内地下水过度开采。</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bCs/>
                <w:color w:val="auto"/>
                <w:kern w:val="0"/>
                <w:szCs w:val="21"/>
                <w:highlight w:val="none"/>
                <w:u w:val="none"/>
              </w:rPr>
              <w:t>能源利用效率要求</w:t>
            </w:r>
          </w:p>
        </w:tc>
        <w:tc>
          <w:tcPr>
            <w:tcW w:w="1739" w:type="pct"/>
            <w:tcBorders>
              <w:left w:val="single" w:color="auto" w:sz="4" w:space="0"/>
              <w:right w:val="single" w:color="auto" w:sz="4" w:space="0"/>
            </w:tcBorders>
            <w:shd w:val="clear" w:color="auto" w:fill="auto"/>
            <w:vAlign w:val="center"/>
          </w:tcPr>
          <w:p>
            <w:pPr>
              <w:rPr>
                <w:color w:val="auto"/>
                <w:highlight w:val="none"/>
                <w:u w:val="none"/>
              </w:rPr>
            </w:pPr>
            <w:r>
              <w:rPr>
                <w:rFonts w:ascii="Times New Roman" w:hAnsi="Times New Roman" w:eastAsia="仿宋" w:cs="Times New Roman"/>
                <w:bCs/>
                <w:color w:val="auto"/>
                <w:kern w:val="0"/>
                <w:szCs w:val="21"/>
                <w:highlight w:val="none"/>
                <w:u w:val="none"/>
              </w:rPr>
              <w:t>能耗指标完成上级部门下达的任务要求</w:t>
            </w:r>
            <w:r>
              <w:rPr>
                <w:rFonts w:hint="eastAsia" w:ascii="Times New Roman" w:hAnsi="Times New Roman" w:eastAsia="仿宋" w:cs="Times New Roman"/>
                <w:bCs/>
                <w:color w:val="auto"/>
                <w:kern w:val="0"/>
                <w:szCs w:val="21"/>
                <w:highlight w:val="none"/>
                <w:u w:val="none"/>
              </w:rPr>
              <w:t>。</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 w:hRule="atLeast"/>
        </w:trPr>
        <w:tc>
          <w:tcPr>
            <w:tcW w:w="445" w:type="pct"/>
            <w:vMerge w:val="continue"/>
            <w:shd w:val="clear" w:color="auto" w:fill="auto"/>
            <w:vAlign w:val="center"/>
          </w:tcPr>
          <w:p>
            <w:pPr>
              <w:rPr>
                <w:color w:val="auto"/>
                <w:highlight w:val="none"/>
                <w:u w:val="none"/>
              </w:rPr>
            </w:pPr>
          </w:p>
        </w:tc>
        <w:tc>
          <w:tcPr>
            <w:tcW w:w="530" w:type="pct"/>
            <w:vMerge w:val="continue"/>
            <w:shd w:val="clear" w:color="auto" w:fill="auto"/>
            <w:vAlign w:val="center"/>
          </w:tcPr>
          <w:p>
            <w:pPr>
              <w:rPr>
                <w:color w:val="auto"/>
                <w:highlight w:val="none"/>
                <w:u w:val="none"/>
              </w:rPr>
            </w:pPr>
          </w:p>
        </w:tc>
        <w:tc>
          <w:tcPr>
            <w:tcW w:w="404" w:type="pct"/>
            <w:vMerge w:val="continue"/>
            <w:tcBorders>
              <w:right w:val="single" w:color="auto" w:sz="4" w:space="0"/>
            </w:tcBorders>
            <w:shd w:val="clear" w:color="auto" w:fill="auto"/>
            <w:vAlign w:val="center"/>
          </w:tcPr>
          <w:p>
            <w:pPr>
              <w:rPr>
                <w:color w:val="auto"/>
                <w:highlight w:val="none"/>
                <w:u w:val="none"/>
              </w:rPr>
            </w:pPr>
          </w:p>
        </w:tc>
        <w:tc>
          <w:tcPr>
            <w:tcW w:w="431" w:type="pct"/>
            <w:vMerge w:val="continue"/>
            <w:tcBorders>
              <w:left w:val="single" w:color="auto" w:sz="4" w:space="0"/>
              <w:right w:val="single" w:color="auto" w:sz="4" w:space="0"/>
            </w:tcBorders>
            <w:shd w:val="clear" w:color="auto" w:fill="auto"/>
            <w:vAlign w:val="center"/>
          </w:tcPr>
          <w:p>
            <w:pPr>
              <w:rPr>
                <w:color w:val="auto"/>
                <w:highlight w:val="none"/>
                <w:u w:val="none"/>
              </w:rPr>
            </w:pPr>
          </w:p>
        </w:tc>
        <w:tc>
          <w:tcPr>
            <w:tcW w:w="523" w:type="pct"/>
            <w:tcBorders>
              <w:left w:val="single" w:color="auto" w:sz="4" w:space="0"/>
              <w:right w:val="single" w:color="auto" w:sz="4" w:space="0"/>
            </w:tcBorders>
            <w:shd w:val="clear" w:color="auto" w:fill="auto"/>
            <w:vAlign w:val="center"/>
          </w:tcPr>
          <w:p>
            <w:pPr>
              <w:jc w:val="center"/>
              <w:rPr>
                <w:color w:val="auto"/>
                <w:highlight w:val="none"/>
                <w:u w:val="none"/>
              </w:rPr>
            </w:pPr>
            <w:r>
              <w:rPr>
                <w:rFonts w:ascii="Times New Roman" w:hAnsi="Times New Roman" w:eastAsia="仿宋" w:cs="Times New Roman"/>
                <w:color w:val="auto"/>
                <w:kern w:val="0"/>
                <w:szCs w:val="21"/>
                <w:highlight w:val="none"/>
                <w:u w:val="none"/>
              </w:rPr>
              <w:t>高污染燃料禁燃</w:t>
            </w:r>
          </w:p>
        </w:tc>
        <w:tc>
          <w:tcPr>
            <w:tcW w:w="1739" w:type="pct"/>
            <w:tcBorders>
              <w:left w:val="single" w:color="auto" w:sz="4" w:space="0"/>
              <w:right w:val="single" w:color="auto" w:sz="4" w:space="0"/>
            </w:tcBorders>
            <w:shd w:val="clear" w:color="auto" w:fill="auto"/>
            <w:vAlign w:val="center"/>
          </w:tcPr>
          <w:p>
            <w:pPr>
              <w:widowControl/>
              <w:rPr>
                <w:color w:val="auto"/>
                <w:highlight w:val="none"/>
                <w:u w:val="none"/>
              </w:rPr>
            </w:pPr>
            <w:r>
              <w:rPr>
                <w:rFonts w:ascii="Times New Roman" w:hAnsi="Times New Roman" w:eastAsia="仿宋" w:cs="Times New Roman"/>
                <w:color w:val="auto"/>
                <w:kern w:val="0"/>
                <w:szCs w:val="21"/>
                <w:highlight w:val="none"/>
                <w:u w:val="none"/>
              </w:rPr>
              <w:t>禁燃区内单台出力小于20蒸吨/小时（14MW/小时）的锅炉、窑炉等燃用高污染燃料设施禁止燃用高污染燃料。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26" w:type="pct"/>
            <w:vMerge w:val="continue"/>
            <w:tcBorders>
              <w:left w:val="single" w:color="auto" w:sz="4" w:space="0"/>
              <w:right w:val="single" w:color="auto" w:sz="4" w:space="0"/>
            </w:tcBorders>
            <w:vAlign w:val="center"/>
          </w:tcPr>
          <w:p>
            <w:pPr>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ZH22038120004</w:t>
            </w:r>
          </w:p>
        </w:tc>
        <w:tc>
          <w:tcPr>
            <w:tcW w:w="530" w:type="pct"/>
            <w:vMerge w:val="restart"/>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公主岭市城镇开发边界</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1城镇居民区、文化教育科学研究区等人口集中区域禁止畜禽养殖场、</w:t>
            </w:r>
            <w:r>
              <w:rPr>
                <w:rFonts w:hint="eastAsia" w:ascii="Times New Roman" w:hAnsi="Times New Roman" w:eastAsia="仿宋" w:cs="Times New Roman"/>
                <w:color w:val="auto"/>
                <w:sz w:val="20"/>
                <w:szCs w:val="20"/>
                <w:highlight w:val="none"/>
                <w:u w:val="none"/>
                <w:lang w:eastAsia="zh-CN"/>
              </w:rPr>
              <w:t>养殖小区涉及氨等异味气体排放的生产生活活动</w:t>
            </w:r>
            <w:r>
              <w:rPr>
                <w:rFonts w:ascii="Times New Roman" w:hAnsi="Times New Roman" w:eastAsia="仿宋" w:cs="Times New Roman"/>
                <w:color w:val="auto"/>
                <w:sz w:val="20"/>
                <w:szCs w:val="20"/>
                <w:highlight w:val="none"/>
                <w:u w:val="none"/>
              </w:rPr>
              <w:t>。除在安全或者产业布局等方面有特殊要求的项目外，原则上应避免大规模排放大气污染物的项目布局建设。</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2除在安全或者产业布局等方面有特殊要求的项目外，应避免大规模排放水污染物的项目布局建设。</w:t>
            </w:r>
          </w:p>
        </w:tc>
        <w:tc>
          <w:tcPr>
            <w:tcW w:w="926" w:type="pct"/>
            <w:vMerge w:val="restart"/>
            <w:tcBorders>
              <w:left w:val="single" w:color="auto" w:sz="4" w:space="0"/>
              <w:right w:val="single" w:color="auto" w:sz="4" w:space="0"/>
            </w:tcBorders>
            <w:vAlign w:val="center"/>
          </w:tcPr>
          <w:p>
            <w:pPr>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大气环境受体敏感重点管控区、水环境城镇生活污染重点管控区、高污染燃料禁燃区</w:t>
            </w:r>
          </w:p>
          <w:p>
            <w:pPr>
              <w:rPr>
                <w:rFonts w:ascii="Times New Roman" w:hAnsi="Times New Roman" w:eastAsia="仿宋" w:cs="Times New Roman"/>
                <w:bCs/>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发展定位：</w:t>
            </w:r>
            <w:r>
              <w:rPr>
                <w:rFonts w:ascii="Times New Roman" w:hAnsi="Times New Roman" w:eastAsia="仿宋" w:cs="Times New Roman"/>
                <w:bCs/>
                <w:color w:val="auto"/>
                <w:kern w:val="0"/>
                <w:sz w:val="20"/>
                <w:szCs w:val="20"/>
                <w:highlight w:val="none"/>
                <w:u w:val="none"/>
              </w:rPr>
              <w:t>以农畜产品生产加工、农业科技研发利用、汽车工业配套为主导产业的生态经济城市</w:t>
            </w:r>
          </w:p>
          <w:p>
            <w:pPr>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 xml:space="preserve"> 《关于开展畜禽养殖禁养区划定工作的通知》《畜禽规模养殖污染防治条例》《中共吉林省委 吉林省人民政府关于深入打好污染防治攻坚战的实施意见》《公主岭市人民政府关于划定高污染燃料禁燃区的通告》</w:t>
            </w:r>
            <w:r>
              <w:rPr>
                <w:rFonts w:hint="eastAsia" w:ascii="Times New Roman" w:hAnsi="Times New Roman" w:eastAsia="仿宋" w:cs="Times New Roman"/>
                <w:bCs/>
                <w:color w:val="auto"/>
                <w:kern w:val="0"/>
                <w:sz w:val="20"/>
                <w:szCs w:val="20"/>
                <w:highlight w:val="none"/>
                <w:u w:val="none"/>
              </w:rPr>
              <w:t>《</w:t>
            </w:r>
            <w:r>
              <w:rPr>
                <w:rFonts w:hint="eastAsia" w:ascii="Times New Roman" w:hAnsi="Times New Roman" w:eastAsia="仿宋" w:cs="Times New Roman"/>
                <w:bCs/>
                <w:color w:val="auto"/>
                <w:kern w:val="0"/>
                <w:sz w:val="20"/>
                <w:szCs w:val="20"/>
                <w:highlight w:val="none"/>
                <w:u w:val="none"/>
                <w:lang w:val="en-US" w:eastAsia="zh-CN"/>
              </w:rPr>
              <w:t>公主岭市</w:t>
            </w:r>
            <w:r>
              <w:rPr>
                <w:rFonts w:hint="eastAsia" w:ascii="Times New Roman" w:hAnsi="Times New Roman" w:eastAsia="仿宋" w:cs="Times New Roman"/>
                <w:bCs/>
                <w:color w:val="auto"/>
                <w:kern w:val="0"/>
                <w:sz w:val="20"/>
                <w:szCs w:val="20"/>
                <w:highlight w:val="none"/>
                <w:u w:val="none"/>
              </w:rPr>
              <w:t>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color w:val="auto"/>
                <w:sz w:val="20"/>
                <w:szCs w:val="20"/>
                <w:highlight w:val="none"/>
                <w:u w:val="none"/>
              </w:rPr>
              <w:t>加强对餐饮服务业油烟污染监管</w:t>
            </w:r>
            <w:r>
              <w:rPr>
                <w:rFonts w:ascii="Times New Roman" w:hAnsi="Times New Roman" w:eastAsia="仿宋" w:cs="Times New Roman"/>
                <w:color w:val="auto"/>
                <w:sz w:val="20"/>
                <w:szCs w:val="20"/>
                <w:highlight w:val="none"/>
                <w:u w:val="none"/>
              </w:rPr>
              <w:t>，强化对加油站、储油库、油罐车等油气回收设施运行监管。</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center"/>
              <w:rPr>
                <w:rFonts w:ascii="Times New Roman" w:hAnsi="Times New Roman" w:eastAsia="仿宋" w:cs="Times New Roman"/>
                <w:color w:val="auto"/>
                <w:sz w:val="20"/>
                <w:szCs w:val="20"/>
                <w:highlight w:val="none"/>
                <w:u w:val="none"/>
              </w:rPr>
            </w:pPr>
          </w:p>
        </w:tc>
        <w:tc>
          <w:tcPr>
            <w:tcW w:w="530" w:type="pct"/>
            <w:vMerge w:val="continue"/>
            <w:shd w:val="clear" w:color="auto" w:fill="auto"/>
            <w:vAlign w:val="center"/>
          </w:tcPr>
          <w:p>
            <w:pPr>
              <w:jc w:val="center"/>
              <w:rPr>
                <w:rFonts w:ascii="Times New Roman" w:hAnsi="Times New Roman" w:eastAsia="仿宋" w:cs="Times New Roman"/>
                <w:color w:val="auto"/>
                <w:sz w:val="20"/>
                <w:szCs w:val="20"/>
                <w:highlight w:val="none"/>
                <w:u w:val="none"/>
              </w:rPr>
            </w:pPr>
          </w:p>
        </w:tc>
        <w:tc>
          <w:tcPr>
            <w:tcW w:w="404" w:type="pct"/>
            <w:vMerge w:val="continue"/>
            <w:tcBorders>
              <w:right w:val="single" w:color="auto" w:sz="4" w:space="0"/>
            </w:tcBorders>
            <w:shd w:val="clear" w:color="auto" w:fill="auto"/>
            <w:vAlign w:val="center"/>
          </w:tcPr>
          <w:p>
            <w:pPr>
              <w:jc w:val="center"/>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center"/>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center"/>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center"/>
              <w:rPr>
                <w:rFonts w:ascii="Times New Roman" w:hAnsi="Times New Roman" w:eastAsia="仿宋" w:cs="Times New Roman"/>
                <w:color w:val="auto"/>
                <w:kern w:val="0"/>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ZH22018420005</w:t>
            </w:r>
          </w:p>
        </w:tc>
        <w:tc>
          <w:tcPr>
            <w:tcW w:w="530"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公主岭市大气环境高排放重点管控区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3规模化畜禽养殖场（小区）应当保证畜禽粪污无害化处理和资源化利用设施的正常运转。散养密集区要实行畜禽粪便污水分户收集、集中处理利用。</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大气环境高排放重点管控区、水环境农业污染重点管控区、高污染燃料禁燃区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基于“三线”研究成果提出，《中共吉林省委 吉林省人民政府关于深入打好污染防治攻坚战的实施意见》《吉林省减污降碳协同增效实施方案》《吉林省 “十四五”节能减排综合实施方案》《公主岭市人民政府关于划定高污染燃料禁燃区的通告》《吉林省生态环境保护“十四五”规划》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ZH22018420006</w:t>
            </w:r>
          </w:p>
        </w:tc>
        <w:tc>
          <w:tcPr>
            <w:tcW w:w="530"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公主岭市大气环境布局敏感重点管控区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除在安全或者产业布局等方面有特殊要求的项目外，宜避免大规模排放大气污染物的项目布局建设。</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大气环境布局敏感重点管控区、水环境农业污染重点管控区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1推进分散的工业锅炉达标改造，提升脱硫效率。</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2规模化畜禽养殖场（小区）应当保证畜禽粪污无害化处理和资源化利用设施的正常运转。散养密集区要实行畜禽粪便污水分户收集、集中处理利用。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sz w:val="20"/>
                <w:szCs w:val="20"/>
                <w:highlight w:val="none"/>
                <w:u w:val="none"/>
              </w:rPr>
            </w:pPr>
            <w:r>
              <w:rPr>
                <w:rFonts w:hint="eastAsia" w:ascii="Times New Roman" w:hAnsi="Times New Roman" w:eastAsia="仿宋" w:cs="Times New Roman"/>
                <w:color w:val="auto"/>
                <w:sz w:val="20"/>
                <w:szCs w:val="20"/>
                <w:highlight w:val="none"/>
                <w:u w:val="none"/>
              </w:rPr>
              <w:t>严格管理涉及易导致环境风险的有毒有害和易燃易爆物质的生产、使用、贮运等新建、改扩建项目</w:t>
            </w:r>
            <w:r>
              <w:rPr>
                <w:rFonts w:ascii="Times New Roman" w:hAnsi="Times New Roman" w:eastAsia="仿宋" w:cs="Times New Roman"/>
                <w:color w:val="auto"/>
                <w:sz w:val="20"/>
                <w:szCs w:val="20"/>
                <w:highlight w:val="none"/>
                <w:u w:val="none"/>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ZH22018420007</w:t>
            </w:r>
          </w:p>
        </w:tc>
        <w:tc>
          <w:tcPr>
            <w:tcW w:w="530"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公主岭市水环境农业污染重点管控区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kern w:val="0"/>
                <w:sz w:val="20"/>
                <w:szCs w:val="20"/>
                <w:highlight w:val="none"/>
                <w:u w:val="none"/>
              </w:rPr>
              <w:t>规模化畜禽养殖场（小区）应当保证畜禽粪污无害化处理和资源化利用设施的正常运转。散养密集区要实行畜禽粪便污水分户收集、集中处理利用。</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水环境农业污染重点管控区、建设用地污染风险重点管控区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ZH22018420008</w:t>
            </w:r>
          </w:p>
        </w:tc>
        <w:tc>
          <w:tcPr>
            <w:tcW w:w="530" w:type="pct"/>
            <w:vMerge w:val="restar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公主岭市建设用地污染风险重点管控区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空间布局约束</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建设用地污染风险重点管控区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《污染地块土壤环境管理办法（试行）》《工矿用地土壤环境管理办法（试行）》《吉林省生态环境保护“十四五”规划》《吉林省“十四五” 土壤、地下水和农村生态环境保护规划》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新（改、扩）建涉及有毒有害物质可能造成土壤污染的建设项目，严格落实土壤和地下水污染防治要求。</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530" w:type="pct"/>
            <w:vMerge w:val="continue"/>
            <w:shd w:val="clear" w:color="auto" w:fill="auto"/>
            <w:vAlign w:val="center"/>
          </w:tcPr>
          <w:p>
            <w:pPr>
              <w:jc w:val="left"/>
              <w:rPr>
                <w:rFonts w:ascii="Times New Roman" w:hAnsi="Times New Roman" w:eastAsia="仿宋" w:cs="Times New Roman"/>
                <w:color w:val="auto"/>
                <w:kern w:val="0"/>
                <w:sz w:val="20"/>
                <w:szCs w:val="20"/>
                <w:highlight w:val="none"/>
                <w:u w:val="none"/>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环境风险防控</w:t>
            </w:r>
          </w:p>
        </w:tc>
        <w:tc>
          <w:tcPr>
            <w:tcW w:w="2262" w:type="pct"/>
            <w:gridSpan w:val="2"/>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1落实有色金属冶炼、石油加工、化工、焦化、电镀、制革等土壤污染重点监管企业污染隐患排查整治。</w:t>
            </w:r>
          </w:p>
          <w:p>
            <w:pPr>
              <w:widowControl/>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auto"/>
                <w:sz w:val="20"/>
                <w:szCs w:val="20"/>
                <w:highlight w:val="none"/>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ZH22018420009</w:t>
            </w:r>
          </w:p>
        </w:tc>
        <w:tc>
          <w:tcPr>
            <w:tcW w:w="530" w:type="pct"/>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公主岭市高污染燃料禁燃区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资源开发效率</w:t>
            </w:r>
          </w:p>
        </w:tc>
        <w:tc>
          <w:tcPr>
            <w:tcW w:w="2262" w:type="pct"/>
            <w:gridSpan w:val="2"/>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sz w:val="20"/>
                <w:szCs w:val="20"/>
                <w:highlight w:val="none"/>
                <w:u w:val="none"/>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color w:val="auto"/>
                <w:kern w:val="0"/>
                <w:sz w:val="20"/>
                <w:szCs w:val="20"/>
                <w:highlight w:val="none"/>
                <w:u w:val="none"/>
              </w:rPr>
            </w:pPr>
            <w:r>
              <w:rPr>
                <w:rFonts w:ascii="Times New Roman" w:hAnsi="Times New Roman" w:eastAsia="仿宋" w:cs="Times New Roman"/>
                <w:b/>
                <w:color w:val="auto"/>
                <w:kern w:val="0"/>
                <w:sz w:val="20"/>
                <w:szCs w:val="20"/>
                <w:highlight w:val="none"/>
                <w:u w:val="none"/>
              </w:rPr>
              <w:t>要素分区：</w:t>
            </w:r>
            <w:r>
              <w:rPr>
                <w:rFonts w:ascii="Times New Roman" w:hAnsi="Times New Roman" w:eastAsia="仿宋" w:cs="Times New Roman"/>
                <w:color w:val="auto"/>
                <w:sz w:val="20"/>
                <w:szCs w:val="20"/>
                <w:highlight w:val="none"/>
                <w:u w:val="none"/>
              </w:rPr>
              <w:t>高污染燃料禁燃区</w:t>
            </w:r>
          </w:p>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sz w:val="20"/>
                <w:szCs w:val="20"/>
                <w:highlight w:val="none"/>
                <w:u w:val="none"/>
              </w:rPr>
              <w:t>《公主岭市人民政府关于划定高污染燃料禁燃区的通告》。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45" w:type="pct"/>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ZH22018430001</w:t>
            </w:r>
          </w:p>
        </w:tc>
        <w:tc>
          <w:tcPr>
            <w:tcW w:w="530" w:type="pct"/>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公主岭市一般管控区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color w:val="auto"/>
                <w:sz w:val="20"/>
                <w:szCs w:val="20"/>
                <w:highlight w:val="none"/>
                <w:u w:val="none"/>
              </w:rPr>
            </w:pPr>
            <w:r>
              <w:rPr>
                <w:rFonts w:ascii="Times New Roman" w:hAnsi="Times New Roman" w:eastAsia="仿宋" w:cs="Times New Roman"/>
                <w:color w:val="auto"/>
                <w:sz w:val="20"/>
                <w:szCs w:val="20"/>
                <w:highlight w:val="none"/>
                <w:u w:val="none"/>
              </w:rPr>
              <w:t>3-一般管控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污染物排放管控</w:t>
            </w:r>
          </w:p>
        </w:tc>
        <w:tc>
          <w:tcPr>
            <w:tcW w:w="2262" w:type="pct"/>
            <w:gridSpan w:val="2"/>
            <w:tcBorders>
              <w:left w:val="single" w:color="auto" w:sz="4" w:space="0"/>
              <w:right w:val="single" w:color="auto" w:sz="4" w:space="0"/>
            </w:tcBorders>
            <w:shd w:val="clear" w:color="auto" w:fill="auto"/>
            <w:vAlign w:val="center"/>
          </w:tcPr>
          <w:p>
            <w:pPr>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color w:val="auto"/>
                <w:kern w:val="0"/>
                <w:sz w:val="20"/>
                <w:szCs w:val="20"/>
                <w:highlight w:val="none"/>
                <w:u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color w:val="auto"/>
                <w:kern w:val="0"/>
                <w:sz w:val="20"/>
                <w:szCs w:val="20"/>
                <w:highlight w:val="none"/>
                <w:u w:val="none"/>
              </w:rPr>
            </w:pPr>
            <w:r>
              <w:rPr>
                <w:rFonts w:ascii="Times New Roman" w:hAnsi="Times New Roman" w:eastAsia="仿宋" w:cs="Times New Roman"/>
                <w:b/>
                <w:bCs/>
                <w:color w:val="auto"/>
                <w:sz w:val="20"/>
                <w:szCs w:val="20"/>
                <w:highlight w:val="none"/>
                <w:u w:val="none"/>
              </w:rPr>
              <w:t>依据：</w:t>
            </w:r>
            <w:r>
              <w:rPr>
                <w:rFonts w:ascii="Times New Roman" w:hAnsi="Times New Roman" w:eastAsia="仿宋" w:cs="Times New Roman"/>
                <w:color w:val="auto"/>
                <w:kern w:val="0"/>
                <w:sz w:val="20"/>
                <w:szCs w:val="20"/>
                <w:highlight w:val="none"/>
                <w:u w:val="none"/>
              </w:rPr>
              <w:t>基于“三线”研究成果提出。</w:t>
            </w:r>
          </w:p>
        </w:tc>
      </w:tr>
      <w:bookmarkEnd w:id="60"/>
    </w:tbl>
    <w:p>
      <w:pPr>
        <w:jc w:val="left"/>
        <w:rPr>
          <w:rFonts w:hint="default" w:ascii="Times New Roman" w:hAnsi="Times New Roman" w:eastAsia="仿宋" w:cs="Times New Roman"/>
          <w:color w:val="auto"/>
          <w:highlight w:val="none"/>
          <w:u w:val="none"/>
          <w:lang w:val="en-US" w:eastAsia="zh-CN"/>
        </w:rPr>
      </w:pPr>
      <w:r>
        <w:rPr>
          <w:rFonts w:hint="eastAsia" w:ascii="Times New Roman" w:hAnsi="Times New Roman" w:eastAsia="仿宋" w:cs="Times New Roman"/>
          <w:color w:val="auto"/>
          <w:highlight w:val="none"/>
          <w:u w:val="none"/>
          <w:lang w:val="en-US" w:eastAsia="zh-CN"/>
        </w:rPr>
        <w:t>注：吉林伊通火山群国家级自然保护区面积为0.005平方千米，各地区部门间联合管控。</w:t>
      </w:r>
    </w:p>
    <w:p>
      <w:pPr>
        <w:rPr>
          <w:rFonts w:ascii="Times New Roman" w:hAnsi="Times New Roman" w:eastAsia="仿宋" w:cs="Times New Roman"/>
          <w:color w:val="auto"/>
          <w:highlight w:val="none"/>
          <w:u w:val="none"/>
        </w:rPr>
        <w:sectPr>
          <w:pgSz w:w="23811" w:h="16838" w:orient="landscape"/>
          <w:pgMar w:top="1797" w:right="1440" w:bottom="1797" w:left="1440" w:header="851" w:footer="992" w:gutter="0"/>
          <w:pgNumType w:fmt="decimal"/>
          <w:cols w:space="425" w:num="1"/>
          <w:docGrid w:type="lines" w:linePitch="312" w:charSpace="0"/>
        </w:sectPr>
      </w:pPr>
    </w:p>
    <w:p>
      <w:pPr>
        <w:spacing w:after="120" w:line="600" w:lineRule="exact"/>
        <w:contextualSpacing/>
        <w:rPr>
          <w:rFonts w:hint="eastAsia" w:ascii="仿宋_GB2312" w:hAnsi="Calibri" w:eastAsia="仿宋_GB2312" w:cs="Times New Roman"/>
          <w:color w:val="auto"/>
          <w:sz w:val="32"/>
          <w:szCs w:val="32"/>
          <w:highlight w:val="none"/>
          <w:u w:val="none"/>
          <w:lang w:val="en-US" w:eastAsia="zh-CN"/>
        </w:rPr>
      </w:pPr>
      <w:r>
        <w:rPr>
          <w:rFonts w:hint="eastAsia" w:ascii="黑体" w:hAnsi="黑体" w:eastAsia="黑体" w:cs="Times New Roman"/>
          <w:sz w:val="32"/>
          <w:szCs w:val="32"/>
        </w:rPr>
        <w:t>附件</w:t>
      </w:r>
      <w:r>
        <w:rPr>
          <w:rFonts w:ascii="黑体" w:hAnsi="黑体" w:eastAsia="黑体" w:cs="Times New Roman"/>
          <w:sz w:val="32"/>
          <w:szCs w:val="32"/>
        </w:rPr>
        <w:t>3</w:t>
      </w:r>
      <w:r>
        <w:rPr>
          <w:rFonts w:hint="eastAsia" w:ascii="仿宋_GB2312" w:hAnsi="Calibri" w:eastAsia="仿宋_GB2312" w:cs="Times New Roman"/>
          <w:color w:val="auto"/>
          <w:sz w:val="32"/>
          <w:szCs w:val="32"/>
          <w:highlight w:val="none"/>
          <w:u w:val="none"/>
          <w:lang w:val="en-US" w:eastAsia="zh-CN"/>
        </w:rPr>
        <w:t xml:space="preserve">                                      </w:t>
      </w:r>
      <w:bookmarkStart w:id="61" w:name="_GoBack"/>
      <w:bookmarkEnd w:id="61"/>
      <w:r>
        <w:rPr>
          <w:rFonts w:hint="eastAsia" w:ascii="仿宋_GB2312" w:hAnsi="Calibri" w:eastAsia="仿宋_GB2312" w:cs="Times New Roman"/>
          <w:color w:val="auto"/>
          <w:sz w:val="32"/>
          <w:szCs w:val="32"/>
          <w:highlight w:val="none"/>
          <w:u w:val="none"/>
          <w:lang w:val="en-US" w:eastAsia="zh-CN"/>
        </w:rPr>
        <w:t xml:space="preserve">     </w:t>
      </w:r>
      <w:r>
        <w:rPr>
          <w:rFonts w:hint="eastAsia" w:asciiTheme="majorEastAsia" w:hAnsiTheme="majorEastAsia" w:eastAsiaTheme="majorEastAsia" w:cstheme="majorEastAsia"/>
          <w:b/>
          <w:bCs/>
          <w:color w:val="auto"/>
          <w:sz w:val="44"/>
          <w:szCs w:val="44"/>
          <w:highlight w:val="none"/>
          <w:u w:val="none"/>
          <w:lang w:val="en-US" w:eastAsia="zh-CN"/>
        </w:rPr>
        <w:t>长春市环境管控单元分布图</w:t>
      </w:r>
    </w:p>
    <w:p>
      <w:pPr>
        <w:jc w:val="center"/>
        <w:rPr>
          <w:rFonts w:hint="eastAsia" w:ascii="Times New Roman" w:hAnsi="Times New Roman" w:cs="Times New Roman" w:eastAsiaTheme="minorEastAsia"/>
          <w:color w:val="auto"/>
          <w:highlight w:val="none"/>
          <w:u w:val="none"/>
          <w:lang w:eastAsia="zh-CN"/>
        </w:rPr>
      </w:pPr>
      <w:r>
        <w:rPr>
          <w:rFonts w:hint="eastAsia" w:ascii="Times New Roman" w:hAnsi="Times New Roman" w:cs="Times New Roman" w:eastAsiaTheme="minorEastAsia"/>
          <w:color w:val="auto"/>
          <w:highlight w:val="none"/>
          <w:u w:val="none"/>
          <w:lang w:eastAsia="zh-CN"/>
        </w:rPr>
        <w:drawing>
          <wp:inline distT="0" distB="0" distL="114300" distR="114300">
            <wp:extent cx="12219305" cy="8437245"/>
            <wp:effectExtent l="0" t="0" r="3175" b="5715"/>
            <wp:docPr id="1" name="图片 1" descr="12长春市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长春市环境管控单元图"/>
                    <pic:cNvPicPr>
                      <a:picLocks noChangeAspect="1"/>
                    </pic:cNvPicPr>
                  </pic:nvPicPr>
                  <pic:blipFill>
                    <a:blip r:embed="rId13"/>
                    <a:stretch>
                      <a:fillRect/>
                    </a:stretch>
                  </pic:blipFill>
                  <pic:spPr>
                    <a:xfrm>
                      <a:off x="0" y="0"/>
                      <a:ext cx="12219305" cy="8437245"/>
                    </a:xfrm>
                    <a:prstGeom prst="rect">
                      <a:avLst/>
                    </a:prstGeom>
                  </pic:spPr>
                </pic:pic>
              </a:graphicData>
            </a:graphic>
          </wp:inline>
        </w:drawing>
      </w:r>
    </w:p>
    <w:sectPr>
      <w:footerReference r:id="rId10" w:type="default"/>
      <w:footerReference r:id="rId11" w:type="even"/>
      <w:pgSz w:w="23814" w:h="16839" w:orient="landscape"/>
      <w:pgMar w:top="1418" w:right="1418" w:bottom="1418" w:left="1418" w:header="851" w:footer="992"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13"/>
        <w:tab w:val="right" w:pos="8306"/>
      </w:tabs>
      <w:snapToGrid w:val="0"/>
      <w:jc w:val="left"/>
      <w:rPr>
        <w:rFonts w:ascii="Calibri" w:hAnsi="Calibri" w:eastAsia="宋体" w:cs="Times New Roman"/>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w:fldChar w:fldCharType="begin"/>
    </w:r>
    <w:r>
      <w:rPr>
        <w:rFonts w:ascii="Calibri" w:hAnsi="Calibri" w:eastAsia="宋体" w:cs="Times New Roman"/>
        <w:sz w:val="18"/>
      </w:rPr>
      <w:instrText xml:space="preserve">PAGE   \* MERGEFORMAT</w:instrText>
    </w:r>
    <w:r>
      <w:rPr>
        <w:rFonts w:ascii="Calibri" w:hAnsi="Calibri" w:eastAsia="宋体" w:cs="Times New Roman"/>
        <w:sz w:val="18"/>
      </w:rPr>
      <w:fldChar w:fldCharType="separate"/>
    </w:r>
    <w:r>
      <w:rPr>
        <w:rFonts w:ascii="Calibri" w:hAnsi="Calibri" w:eastAsia="宋体" w:cs="Times New Roman"/>
        <w:sz w:val="18"/>
      </w:rPr>
      <w:t>- 10 -</w:t>
    </w:r>
    <w:r>
      <w:rPr>
        <w:rFonts w:ascii="Calibri" w:hAnsi="Calibri" w:eastAsia="宋体" w:cs="Times New Roman"/>
        <w:sz w:val="18"/>
      </w:rPr>
      <w:fldChar w:fldCharType="end"/>
    </w:r>
  </w:p>
  <w:p>
    <w:pPr>
      <w:tabs>
        <w:tab w:val="center" w:pos="4153"/>
        <w:tab w:val="right" w:pos="8306"/>
      </w:tabs>
      <w:snapToGrid w:val="0"/>
      <w:jc w:val="left"/>
      <w:rPr>
        <w:rFonts w:ascii="Calibri" w:hAnsi="Calibri" w:eastAsia="宋体" w:cs="Times New Roman"/>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dit="readOnly"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0ZjYwYWU0NmI0MDhjZTYzZWIxMDllZGIwZDk0ZTkifQ=="/>
  </w:docVars>
  <w:rsids>
    <w:rsidRoot w:val="00172A27"/>
    <w:rsid w:val="00000A1C"/>
    <w:rsid w:val="00001067"/>
    <w:rsid w:val="00002B2A"/>
    <w:rsid w:val="00003682"/>
    <w:rsid w:val="00005334"/>
    <w:rsid w:val="0000533B"/>
    <w:rsid w:val="00005E26"/>
    <w:rsid w:val="0000673B"/>
    <w:rsid w:val="00010016"/>
    <w:rsid w:val="000100A3"/>
    <w:rsid w:val="00010EE9"/>
    <w:rsid w:val="000122EE"/>
    <w:rsid w:val="00013150"/>
    <w:rsid w:val="00013F0F"/>
    <w:rsid w:val="00014043"/>
    <w:rsid w:val="0001571B"/>
    <w:rsid w:val="0001593A"/>
    <w:rsid w:val="00015CAB"/>
    <w:rsid w:val="000164FF"/>
    <w:rsid w:val="0001794F"/>
    <w:rsid w:val="00017EB3"/>
    <w:rsid w:val="000207D3"/>
    <w:rsid w:val="000228AB"/>
    <w:rsid w:val="00022B88"/>
    <w:rsid w:val="00022F7D"/>
    <w:rsid w:val="0002342D"/>
    <w:rsid w:val="00023A8D"/>
    <w:rsid w:val="00023D96"/>
    <w:rsid w:val="0002499F"/>
    <w:rsid w:val="00024CC3"/>
    <w:rsid w:val="00026220"/>
    <w:rsid w:val="00026B19"/>
    <w:rsid w:val="000273CC"/>
    <w:rsid w:val="000301D8"/>
    <w:rsid w:val="00031137"/>
    <w:rsid w:val="00031A27"/>
    <w:rsid w:val="00032B33"/>
    <w:rsid w:val="00032C0F"/>
    <w:rsid w:val="00033416"/>
    <w:rsid w:val="0003384C"/>
    <w:rsid w:val="00035596"/>
    <w:rsid w:val="00036AD3"/>
    <w:rsid w:val="00040A8D"/>
    <w:rsid w:val="00041843"/>
    <w:rsid w:val="00041AAC"/>
    <w:rsid w:val="00042262"/>
    <w:rsid w:val="00042535"/>
    <w:rsid w:val="00043A4E"/>
    <w:rsid w:val="000448B7"/>
    <w:rsid w:val="00045570"/>
    <w:rsid w:val="00045A19"/>
    <w:rsid w:val="00046816"/>
    <w:rsid w:val="0004718E"/>
    <w:rsid w:val="00047EF6"/>
    <w:rsid w:val="00051EDA"/>
    <w:rsid w:val="000525F9"/>
    <w:rsid w:val="00052D41"/>
    <w:rsid w:val="0005350D"/>
    <w:rsid w:val="000537E8"/>
    <w:rsid w:val="000558F5"/>
    <w:rsid w:val="00055D7C"/>
    <w:rsid w:val="000578F4"/>
    <w:rsid w:val="00061928"/>
    <w:rsid w:val="00061AA0"/>
    <w:rsid w:val="00062BB9"/>
    <w:rsid w:val="00063574"/>
    <w:rsid w:val="00064B2C"/>
    <w:rsid w:val="000659BD"/>
    <w:rsid w:val="00065A8F"/>
    <w:rsid w:val="00065DFB"/>
    <w:rsid w:val="0006615E"/>
    <w:rsid w:val="00066CC8"/>
    <w:rsid w:val="00067519"/>
    <w:rsid w:val="00067939"/>
    <w:rsid w:val="0007086D"/>
    <w:rsid w:val="000713DA"/>
    <w:rsid w:val="00071F24"/>
    <w:rsid w:val="000720AC"/>
    <w:rsid w:val="00072170"/>
    <w:rsid w:val="000730A8"/>
    <w:rsid w:val="0007313F"/>
    <w:rsid w:val="00073731"/>
    <w:rsid w:val="00074084"/>
    <w:rsid w:val="00074AEF"/>
    <w:rsid w:val="000759E2"/>
    <w:rsid w:val="00075A0E"/>
    <w:rsid w:val="000767C9"/>
    <w:rsid w:val="0007760B"/>
    <w:rsid w:val="00081508"/>
    <w:rsid w:val="00081654"/>
    <w:rsid w:val="000828D8"/>
    <w:rsid w:val="000837E6"/>
    <w:rsid w:val="00083AB1"/>
    <w:rsid w:val="000848E5"/>
    <w:rsid w:val="000849B8"/>
    <w:rsid w:val="00084F19"/>
    <w:rsid w:val="000862B3"/>
    <w:rsid w:val="00086555"/>
    <w:rsid w:val="00086908"/>
    <w:rsid w:val="00086B8E"/>
    <w:rsid w:val="00086C80"/>
    <w:rsid w:val="00087B9D"/>
    <w:rsid w:val="00092F9A"/>
    <w:rsid w:val="00094CFE"/>
    <w:rsid w:val="00094F9B"/>
    <w:rsid w:val="000952EC"/>
    <w:rsid w:val="00095400"/>
    <w:rsid w:val="00095A95"/>
    <w:rsid w:val="000962A9"/>
    <w:rsid w:val="00096999"/>
    <w:rsid w:val="000978D6"/>
    <w:rsid w:val="000A1588"/>
    <w:rsid w:val="000A18D4"/>
    <w:rsid w:val="000A1BFE"/>
    <w:rsid w:val="000A201F"/>
    <w:rsid w:val="000A203C"/>
    <w:rsid w:val="000A26BB"/>
    <w:rsid w:val="000A3198"/>
    <w:rsid w:val="000A3E45"/>
    <w:rsid w:val="000A4F79"/>
    <w:rsid w:val="000A56B5"/>
    <w:rsid w:val="000A5BFE"/>
    <w:rsid w:val="000A5D7B"/>
    <w:rsid w:val="000A637C"/>
    <w:rsid w:val="000B0028"/>
    <w:rsid w:val="000B051C"/>
    <w:rsid w:val="000B353D"/>
    <w:rsid w:val="000B42A2"/>
    <w:rsid w:val="000B4BF5"/>
    <w:rsid w:val="000B4E66"/>
    <w:rsid w:val="000B5404"/>
    <w:rsid w:val="000B637B"/>
    <w:rsid w:val="000B6A6F"/>
    <w:rsid w:val="000B7D52"/>
    <w:rsid w:val="000C07F2"/>
    <w:rsid w:val="000C1936"/>
    <w:rsid w:val="000C1D21"/>
    <w:rsid w:val="000C3DA7"/>
    <w:rsid w:val="000C4C70"/>
    <w:rsid w:val="000C4C8C"/>
    <w:rsid w:val="000C4D10"/>
    <w:rsid w:val="000C65BB"/>
    <w:rsid w:val="000D0AA8"/>
    <w:rsid w:val="000D1CCD"/>
    <w:rsid w:val="000D244E"/>
    <w:rsid w:val="000D24CC"/>
    <w:rsid w:val="000D3E8A"/>
    <w:rsid w:val="000D56DA"/>
    <w:rsid w:val="000D6AFC"/>
    <w:rsid w:val="000D78D4"/>
    <w:rsid w:val="000E0A2E"/>
    <w:rsid w:val="000E1326"/>
    <w:rsid w:val="000E13F1"/>
    <w:rsid w:val="000E2C88"/>
    <w:rsid w:val="000E37A1"/>
    <w:rsid w:val="000E49FC"/>
    <w:rsid w:val="000E4BD5"/>
    <w:rsid w:val="000E7B1F"/>
    <w:rsid w:val="000E7BD0"/>
    <w:rsid w:val="000F0F2A"/>
    <w:rsid w:val="000F1315"/>
    <w:rsid w:val="000F1DDE"/>
    <w:rsid w:val="000F372C"/>
    <w:rsid w:val="000F6427"/>
    <w:rsid w:val="000F6C34"/>
    <w:rsid w:val="000F76C6"/>
    <w:rsid w:val="00101436"/>
    <w:rsid w:val="00101DA4"/>
    <w:rsid w:val="001031C1"/>
    <w:rsid w:val="00103897"/>
    <w:rsid w:val="00103B86"/>
    <w:rsid w:val="001053F0"/>
    <w:rsid w:val="00106093"/>
    <w:rsid w:val="00107FED"/>
    <w:rsid w:val="0011045B"/>
    <w:rsid w:val="00110853"/>
    <w:rsid w:val="00111445"/>
    <w:rsid w:val="00111FB4"/>
    <w:rsid w:val="001135EC"/>
    <w:rsid w:val="00113C72"/>
    <w:rsid w:val="001145F5"/>
    <w:rsid w:val="0011464F"/>
    <w:rsid w:val="001146FC"/>
    <w:rsid w:val="00117268"/>
    <w:rsid w:val="00122960"/>
    <w:rsid w:val="00123B54"/>
    <w:rsid w:val="00124F25"/>
    <w:rsid w:val="00125181"/>
    <w:rsid w:val="001265D0"/>
    <w:rsid w:val="00126A7D"/>
    <w:rsid w:val="001279E5"/>
    <w:rsid w:val="0013005A"/>
    <w:rsid w:val="00133267"/>
    <w:rsid w:val="0013534A"/>
    <w:rsid w:val="001359A5"/>
    <w:rsid w:val="00135C1B"/>
    <w:rsid w:val="00136967"/>
    <w:rsid w:val="001373D3"/>
    <w:rsid w:val="00140C22"/>
    <w:rsid w:val="00141779"/>
    <w:rsid w:val="00142785"/>
    <w:rsid w:val="00143DAC"/>
    <w:rsid w:val="0014666C"/>
    <w:rsid w:val="0014767F"/>
    <w:rsid w:val="001511A6"/>
    <w:rsid w:val="00151242"/>
    <w:rsid w:val="00152175"/>
    <w:rsid w:val="00152422"/>
    <w:rsid w:val="00153860"/>
    <w:rsid w:val="00153C4E"/>
    <w:rsid w:val="00154140"/>
    <w:rsid w:val="00154788"/>
    <w:rsid w:val="0015483E"/>
    <w:rsid w:val="00154A5F"/>
    <w:rsid w:val="00155B29"/>
    <w:rsid w:val="00155F3C"/>
    <w:rsid w:val="00156A6E"/>
    <w:rsid w:val="0015758F"/>
    <w:rsid w:val="00157DD8"/>
    <w:rsid w:val="00157F64"/>
    <w:rsid w:val="0016094D"/>
    <w:rsid w:val="00160C44"/>
    <w:rsid w:val="0016195C"/>
    <w:rsid w:val="001621C0"/>
    <w:rsid w:val="00162F93"/>
    <w:rsid w:val="00162FB3"/>
    <w:rsid w:val="0016398C"/>
    <w:rsid w:val="0016438C"/>
    <w:rsid w:val="00164CFA"/>
    <w:rsid w:val="00165E65"/>
    <w:rsid w:val="00165F95"/>
    <w:rsid w:val="00166071"/>
    <w:rsid w:val="001664DA"/>
    <w:rsid w:val="001726D6"/>
    <w:rsid w:val="00172A27"/>
    <w:rsid w:val="00173721"/>
    <w:rsid w:val="001740A1"/>
    <w:rsid w:val="00175604"/>
    <w:rsid w:val="00176829"/>
    <w:rsid w:val="00180086"/>
    <w:rsid w:val="00181AC9"/>
    <w:rsid w:val="00182336"/>
    <w:rsid w:val="0018274C"/>
    <w:rsid w:val="001827C8"/>
    <w:rsid w:val="00182C35"/>
    <w:rsid w:val="00184217"/>
    <w:rsid w:val="00184238"/>
    <w:rsid w:val="00184705"/>
    <w:rsid w:val="00184EDF"/>
    <w:rsid w:val="00184F44"/>
    <w:rsid w:val="001850FF"/>
    <w:rsid w:val="0018723C"/>
    <w:rsid w:val="0018767C"/>
    <w:rsid w:val="00191D04"/>
    <w:rsid w:val="00191FB0"/>
    <w:rsid w:val="00192B54"/>
    <w:rsid w:val="0019358D"/>
    <w:rsid w:val="001954FA"/>
    <w:rsid w:val="00197524"/>
    <w:rsid w:val="001A073D"/>
    <w:rsid w:val="001A160C"/>
    <w:rsid w:val="001A2EC1"/>
    <w:rsid w:val="001A4428"/>
    <w:rsid w:val="001A62D0"/>
    <w:rsid w:val="001A6680"/>
    <w:rsid w:val="001A724C"/>
    <w:rsid w:val="001B2129"/>
    <w:rsid w:val="001B3E77"/>
    <w:rsid w:val="001B71D1"/>
    <w:rsid w:val="001B7422"/>
    <w:rsid w:val="001B7597"/>
    <w:rsid w:val="001B7797"/>
    <w:rsid w:val="001C176F"/>
    <w:rsid w:val="001C1F51"/>
    <w:rsid w:val="001C2DC1"/>
    <w:rsid w:val="001C30AC"/>
    <w:rsid w:val="001C62E3"/>
    <w:rsid w:val="001C7E0C"/>
    <w:rsid w:val="001D0C16"/>
    <w:rsid w:val="001D1BEF"/>
    <w:rsid w:val="001D3725"/>
    <w:rsid w:val="001D4768"/>
    <w:rsid w:val="001D5F1B"/>
    <w:rsid w:val="001D666B"/>
    <w:rsid w:val="001D6FF4"/>
    <w:rsid w:val="001D78EB"/>
    <w:rsid w:val="001E0E7A"/>
    <w:rsid w:val="001E0F81"/>
    <w:rsid w:val="001E1899"/>
    <w:rsid w:val="001E217D"/>
    <w:rsid w:val="001E2D16"/>
    <w:rsid w:val="001E3BC8"/>
    <w:rsid w:val="001E4CC7"/>
    <w:rsid w:val="001E6D32"/>
    <w:rsid w:val="001E7D69"/>
    <w:rsid w:val="001E7F61"/>
    <w:rsid w:val="001F00EA"/>
    <w:rsid w:val="001F1193"/>
    <w:rsid w:val="001F1290"/>
    <w:rsid w:val="001F1D2C"/>
    <w:rsid w:val="001F22D6"/>
    <w:rsid w:val="001F29EA"/>
    <w:rsid w:val="001F348C"/>
    <w:rsid w:val="001F4707"/>
    <w:rsid w:val="001F5ADB"/>
    <w:rsid w:val="001F5BBA"/>
    <w:rsid w:val="001F6A01"/>
    <w:rsid w:val="001F7F67"/>
    <w:rsid w:val="00202364"/>
    <w:rsid w:val="00202622"/>
    <w:rsid w:val="00204014"/>
    <w:rsid w:val="002043C9"/>
    <w:rsid w:val="00205BD8"/>
    <w:rsid w:val="00206C63"/>
    <w:rsid w:val="00210541"/>
    <w:rsid w:val="00215642"/>
    <w:rsid w:val="00216C92"/>
    <w:rsid w:val="00217030"/>
    <w:rsid w:val="00220C84"/>
    <w:rsid w:val="002224BE"/>
    <w:rsid w:val="002236DE"/>
    <w:rsid w:val="00226A3E"/>
    <w:rsid w:val="00227B4B"/>
    <w:rsid w:val="0023039C"/>
    <w:rsid w:val="002304B8"/>
    <w:rsid w:val="002309C1"/>
    <w:rsid w:val="00230F51"/>
    <w:rsid w:val="0023236C"/>
    <w:rsid w:val="00232C63"/>
    <w:rsid w:val="00232DEF"/>
    <w:rsid w:val="00232E9A"/>
    <w:rsid w:val="002342AE"/>
    <w:rsid w:val="00234441"/>
    <w:rsid w:val="002344BC"/>
    <w:rsid w:val="002353C9"/>
    <w:rsid w:val="00236A87"/>
    <w:rsid w:val="00237EF0"/>
    <w:rsid w:val="0024209C"/>
    <w:rsid w:val="00243302"/>
    <w:rsid w:val="00244F9D"/>
    <w:rsid w:val="002452A9"/>
    <w:rsid w:val="00246913"/>
    <w:rsid w:val="00247343"/>
    <w:rsid w:val="00252A67"/>
    <w:rsid w:val="00253992"/>
    <w:rsid w:val="002544E3"/>
    <w:rsid w:val="00254F36"/>
    <w:rsid w:val="00256161"/>
    <w:rsid w:val="0025621B"/>
    <w:rsid w:val="0025623F"/>
    <w:rsid w:val="0025638A"/>
    <w:rsid w:val="0025782A"/>
    <w:rsid w:val="002601D9"/>
    <w:rsid w:val="0026130D"/>
    <w:rsid w:val="00262059"/>
    <w:rsid w:val="00262F2D"/>
    <w:rsid w:val="002630BB"/>
    <w:rsid w:val="00264510"/>
    <w:rsid w:val="002645BC"/>
    <w:rsid w:val="00264BA1"/>
    <w:rsid w:val="00264E69"/>
    <w:rsid w:val="00265BB8"/>
    <w:rsid w:val="00265F66"/>
    <w:rsid w:val="00266F9C"/>
    <w:rsid w:val="0026730F"/>
    <w:rsid w:val="00270154"/>
    <w:rsid w:val="00270AA4"/>
    <w:rsid w:val="00270AE9"/>
    <w:rsid w:val="00270BE1"/>
    <w:rsid w:val="002716AF"/>
    <w:rsid w:val="00273A20"/>
    <w:rsid w:val="00273A33"/>
    <w:rsid w:val="00274577"/>
    <w:rsid w:val="00274CC3"/>
    <w:rsid w:val="00274CE5"/>
    <w:rsid w:val="0027580A"/>
    <w:rsid w:val="002758EC"/>
    <w:rsid w:val="002779B8"/>
    <w:rsid w:val="00277D9C"/>
    <w:rsid w:val="002808CB"/>
    <w:rsid w:val="00281FBA"/>
    <w:rsid w:val="00282CD2"/>
    <w:rsid w:val="002845B2"/>
    <w:rsid w:val="00284855"/>
    <w:rsid w:val="00285447"/>
    <w:rsid w:val="002867D1"/>
    <w:rsid w:val="00286A09"/>
    <w:rsid w:val="00286A28"/>
    <w:rsid w:val="00287090"/>
    <w:rsid w:val="002871AD"/>
    <w:rsid w:val="00287FAB"/>
    <w:rsid w:val="00290E65"/>
    <w:rsid w:val="00290FAA"/>
    <w:rsid w:val="00291BF5"/>
    <w:rsid w:val="00292323"/>
    <w:rsid w:val="002924D0"/>
    <w:rsid w:val="002927A2"/>
    <w:rsid w:val="00292BAB"/>
    <w:rsid w:val="00293464"/>
    <w:rsid w:val="00293531"/>
    <w:rsid w:val="002946CE"/>
    <w:rsid w:val="0029487C"/>
    <w:rsid w:val="00294959"/>
    <w:rsid w:val="00294C76"/>
    <w:rsid w:val="002950B4"/>
    <w:rsid w:val="00295B44"/>
    <w:rsid w:val="0029660E"/>
    <w:rsid w:val="002968E7"/>
    <w:rsid w:val="00297110"/>
    <w:rsid w:val="00297711"/>
    <w:rsid w:val="002A0CB8"/>
    <w:rsid w:val="002A13C9"/>
    <w:rsid w:val="002A1415"/>
    <w:rsid w:val="002A3F1C"/>
    <w:rsid w:val="002A41CC"/>
    <w:rsid w:val="002A6ECB"/>
    <w:rsid w:val="002A74A2"/>
    <w:rsid w:val="002A7932"/>
    <w:rsid w:val="002A7E44"/>
    <w:rsid w:val="002B006E"/>
    <w:rsid w:val="002B07E7"/>
    <w:rsid w:val="002B0FA5"/>
    <w:rsid w:val="002B1AA0"/>
    <w:rsid w:val="002B203D"/>
    <w:rsid w:val="002B2154"/>
    <w:rsid w:val="002B3285"/>
    <w:rsid w:val="002B3ACE"/>
    <w:rsid w:val="002B5C88"/>
    <w:rsid w:val="002B6C3C"/>
    <w:rsid w:val="002C1264"/>
    <w:rsid w:val="002C17D5"/>
    <w:rsid w:val="002C27DF"/>
    <w:rsid w:val="002C2AED"/>
    <w:rsid w:val="002C391A"/>
    <w:rsid w:val="002C3C2A"/>
    <w:rsid w:val="002C428D"/>
    <w:rsid w:val="002C4449"/>
    <w:rsid w:val="002D0FCB"/>
    <w:rsid w:val="002D340D"/>
    <w:rsid w:val="002D37A1"/>
    <w:rsid w:val="002D395B"/>
    <w:rsid w:val="002D3E91"/>
    <w:rsid w:val="002D5553"/>
    <w:rsid w:val="002D6CDD"/>
    <w:rsid w:val="002E06B9"/>
    <w:rsid w:val="002E073C"/>
    <w:rsid w:val="002E0DC7"/>
    <w:rsid w:val="002E2712"/>
    <w:rsid w:val="002E4918"/>
    <w:rsid w:val="002E50A7"/>
    <w:rsid w:val="002E578E"/>
    <w:rsid w:val="002E6413"/>
    <w:rsid w:val="002E7350"/>
    <w:rsid w:val="002E7614"/>
    <w:rsid w:val="002F25BF"/>
    <w:rsid w:val="002F2B61"/>
    <w:rsid w:val="002F3445"/>
    <w:rsid w:val="002F6238"/>
    <w:rsid w:val="002F67BD"/>
    <w:rsid w:val="003009F3"/>
    <w:rsid w:val="0030124F"/>
    <w:rsid w:val="00301445"/>
    <w:rsid w:val="00301694"/>
    <w:rsid w:val="003023B5"/>
    <w:rsid w:val="00302B5A"/>
    <w:rsid w:val="0030405A"/>
    <w:rsid w:val="0030410A"/>
    <w:rsid w:val="00307A95"/>
    <w:rsid w:val="00310711"/>
    <w:rsid w:val="003111DD"/>
    <w:rsid w:val="00311A5F"/>
    <w:rsid w:val="00311C96"/>
    <w:rsid w:val="0031203F"/>
    <w:rsid w:val="0031380D"/>
    <w:rsid w:val="0031383F"/>
    <w:rsid w:val="00314B4D"/>
    <w:rsid w:val="0031502C"/>
    <w:rsid w:val="003159D0"/>
    <w:rsid w:val="0031711F"/>
    <w:rsid w:val="00320128"/>
    <w:rsid w:val="00321A05"/>
    <w:rsid w:val="00322C71"/>
    <w:rsid w:val="00323941"/>
    <w:rsid w:val="00324F57"/>
    <w:rsid w:val="00325E52"/>
    <w:rsid w:val="00325E85"/>
    <w:rsid w:val="0032609C"/>
    <w:rsid w:val="0032742C"/>
    <w:rsid w:val="00327546"/>
    <w:rsid w:val="003303EA"/>
    <w:rsid w:val="00331FFA"/>
    <w:rsid w:val="00332CA1"/>
    <w:rsid w:val="00333132"/>
    <w:rsid w:val="0033379F"/>
    <w:rsid w:val="00334E68"/>
    <w:rsid w:val="003357D8"/>
    <w:rsid w:val="00336B23"/>
    <w:rsid w:val="00342B9E"/>
    <w:rsid w:val="00343E67"/>
    <w:rsid w:val="00344610"/>
    <w:rsid w:val="00346944"/>
    <w:rsid w:val="00347D5F"/>
    <w:rsid w:val="003505AD"/>
    <w:rsid w:val="00352A50"/>
    <w:rsid w:val="00353207"/>
    <w:rsid w:val="00353CA9"/>
    <w:rsid w:val="00354167"/>
    <w:rsid w:val="00354219"/>
    <w:rsid w:val="003544A6"/>
    <w:rsid w:val="00354E21"/>
    <w:rsid w:val="003559BD"/>
    <w:rsid w:val="00356272"/>
    <w:rsid w:val="003564A1"/>
    <w:rsid w:val="00356781"/>
    <w:rsid w:val="003576EE"/>
    <w:rsid w:val="00357DC6"/>
    <w:rsid w:val="00362524"/>
    <w:rsid w:val="00362F6C"/>
    <w:rsid w:val="00365B97"/>
    <w:rsid w:val="00366F05"/>
    <w:rsid w:val="003679E9"/>
    <w:rsid w:val="00367B14"/>
    <w:rsid w:val="00367F58"/>
    <w:rsid w:val="003709CB"/>
    <w:rsid w:val="00370AD2"/>
    <w:rsid w:val="00371EE3"/>
    <w:rsid w:val="00372DA6"/>
    <w:rsid w:val="00373A39"/>
    <w:rsid w:val="00373D28"/>
    <w:rsid w:val="00374163"/>
    <w:rsid w:val="00376435"/>
    <w:rsid w:val="00376C80"/>
    <w:rsid w:val="00377E09"/>
    <w:rsid w:val="00381040"/>
    <w:rsid w:val="00381D02"/>
    <w:rsid w:val="003824B7"/>
    <w:rsid w:val="00384BDB"/>
    <w:rsid w:val="00385489"/>
    <w:rsid w:val="00385D13"/>
    <w:rsid w:val="003913AB"/>
    <w:rsid w:val="003919B1"/>
    <w:rsid w:val="00392011"/>
    <w:rsid w:val="0039229B"/>
    <w:rsid w:val="00392920"/>
    <w:rsid w:val="0039338C"/>
    <w:rsid w:val="0039641F"/>
    <w:rsid w:val="00396F9A"/>
    <w:rsid w:val="003A41AE"/>
    <w:rsid w:val="003A42D1"/>
    <w:rsid w:val="003A44A1"/>
    <w:rsid w:val="003A4B1B"/>
    <w:rsid w:val="003A53AA"/>
    <w:rsid w:val="003A587F"/>
    <w:rsid w:val="003A5D7B"/>
    <w:rsid w:val="003A7AFA"/>
    <w:rsid w:val="003B11ED"/>
    <w:rsid w:val="003B1761"/>
    <w:rsid w:val="003B41DE"/>
    <w:rsid w:val="003B5B1A"/>
    <w:rsid w:val="003B5EBB"/>
    <w:rsid w:val="003B6708"/>
    <w:rsid w:val="003B6A96"/>
    <w:rsid w:val="003B6A98"/>
    <w:rsid w:val="003B71F1"/>
    <w:rsid w:val="003B76DC"/>
    <w:rsid w:val="003C0DA8"/>
    <w:rsid w:val="003C1552"/>
    <w:rsid w:val="003C176E"/>
    <w:rsid w:val="003C2019"/>
    <w:rsid w:val="003C35BC"/>
    <w:rsid w:val="003C468C"/>
    <w:rsid w:val="003C46BE"/>
    <w:rsid w:val="003C510E"/>
    <w:rsid w:val="003C5705"/>
    <w:rsid w:val="003D0404"/>
    <w:rsid w:val="003D1E57"/>
    <w:rsid w:val="003D23E9"/>
    <w:rsid w:val="003D4A2F"/>
    <w:rsid w:val="003D51F6"/>
    <w:rsid w:val="003D5AF6"/>
    <w:rsid w:val="003D5E49"/>
    <w:rsid w:val="003E2008"/>
    <w:rsid w:val="003E26FC"/>
    <w:rsid w:val="003E2A59"/>
    <w:rsid w:val="003E3B9B"/>
    <w:rsid w:val="003E3FC9"/>
    <w:rsid w:val="003E4520"/>
    <w:rsid w:val="003E551E"/>
    <w:rsid w:val="003E56B5"/>
    <w:rsid w:val="003E6BBC"/>
    <w:rsid w:val="003E785D"/>
    <w:rsid w:val="003F23B4"/>
    <w:rsid w:val="003F23CE"/>
    <w:rsid w:val="003F2680"/>
    <w:rsid w:val="003F2E65"/>
    <w:rsid w:val="003F3507"/>
    <w:rsid w:val="003F3D07"/>
    <w:rsid w:val="003F4767"/>
    <w:rsid w:val="003F5E20"/>
    <w:rsid w:val="003F5F2A"/>
    <w:rsid w:val="003F6B93"/>
    <w:rsid w:val="003F734F"/>
    <w:rsid w:val="003F76CC"/>
    <w:rsid w:val="00405784"/>
    <w:rsid w:val="00407C36"/>
    <w:rsid w:val="00407EB6"/>
    <w:rsid w:val="00411A04"/>
    <w:rsid w:val="00411CA3"/>
    <w:rsid w:val="00412716"/>
    <w:rsid w:val="004129BA"/>
    <w:rsid w:val="00413050"/>
    <w:rsid w:val="004137CC"/>
    <w:rsid w:val="0041557E"/>
    <w:rsid w:val="0041567C"/>
    <w:rsid w:val="00415EEE"/>
    <w:rsid w:val="0041724B"/>
    <w:rsid w:val="004213CA"/>
    <w:rsid w:val="004235A0"/>
    <w:rsid w:val="00423C6D"/>
    <w:rsid w:val="004255FA"/>
    <w:rsid w:val="00425A1B"/>
    <w:rsid w:val="004310B9"/>
    <w:rsid w:val="00432D75"/>
    <w:rsid w:val="004344A0"/>
    <w:rsid w:val="004354C3"/>
    <w:rsid w:val="00436F07"/>
    <w:rsid w:val="004379C7"/>
    <w:rsid w:val="00437DAF"/>
    <w:rsid w:val="00437E5C"/>
    <w:rsid w:val="00440D38"/>
    <w:rsid w:val="00444342"/>
    <w:rsid w:val="00445DEC"/>
    <w:rsid w:val="004515DA"/>
    <w:rsid w:val="00451896"/>
    <w:rsid w:val="00453BD2"/>
    <w:rsid w:val="00453BF9"/>
    <w:rsid w:val="00454E05"/>
    <w:rsid w:val="004552EB"/>
    <w:rsid w:val="00457A3B"/>
    <w:rsid w:val="00460701"/>
    <w:rsid w:val="00461FED"/>
    <w:rsid w:val="0046285E"/>
    <w:rsid w:val="0046463C"/>
    <w:rsid w:val="0046496D"/>
    <w:rsid w:val="0046550B"/>
    <w:rsid w:val="004657D0"/>
    <w:rsid w:val="00465B9F"/>
    <w:rsid w:val="00466300"/>
    <w:rsid w:val="0046717A"/>
    <w:rsid w:val="0046751A"/>
    <w:rsid w:val="00470610"/>
    <w:rsid w:val="00472E36"/>
    <w:rsid w:val="00473020"/>
    <w:rsid w:val="00473FBC"/>
    <w:rsid w:val="0047647C"/>
    <w:rsid w:val="004764D7"/>
    <w:rsid w:val="00476875"/>
    <w:rsid w:val="00476D27"/>
    <w:rsid w:val="004803FA"/>
    <w:rsid w:val="004805B0"/>
    <w:rsid w:val="00480C3F"/>
    <w:rsid w:val="00481283"/>
    <w:rsid w:val="004814F5"/>
    <w:rsid w:val="004824A2"/>
    <w:rsid w:val="00482522"/>
    <w:rsid w:val="00485124"/>
    <w:rsid w:val="00487849"/>
    <w:rsid w:val="00487B68"/>
    <w:rsid w:val="00487C67"/>
    <w:rsid w:val="00487C77"/>
    <w:rsid w:val="00490B57"/>
    <w:rsid w:val="00491FE7"/>
    <w:rsid w:val="004925E2"/>
    <w:rsid w:val="0049289C"/>
    <w:rsid w:val="00492DA3"/>
    <w:rsid w:val="004945D3"/>
    <w:rsid w:val="00494FFB"/>
    <w:rsid w:val="00495E62"/>
    <w:rsid w:val="00496AB0"/>
    <w:rsid w:val="00496B2E"/>
    <w:rsid w:val="0049716D"/>
    <w:rsid w:val="00497B88"/>
    <w:rsid w:val="004A01C6"/>
    <w:rsid w:val="004A08C9"/>
    <w:rsid w:val="004A0AD8"/>
    <w:rsid w:val="004A3049"/>
    <w:rsid w:val="004A3B02"/>
    <w:rsid w:val="004A53E6"/>
    <w:rsid w:val="004A70F5"/>
    <w:rsid w:val="004A72EE"/>
    <w:rsid w:val="004B0D73"/>
    <w:rsid w:val="004B1A21"/>
    <w:rsid w:val="004B2B05"/>
    <w:rsid w:val="004B3BA0"/>
    <w:rsid w:val="004B47CD"/>
    <w:rsid w:val="004B48CF"/>
    <w:rsid w:val="004B4CBE"/>
    <w:rsid w:val="004B5A26"/>
    <w:rsid w:val="004B623E"/>
    <w:rsid w:val="004B6505"/>
    <w:rsid w:val="004B651B"/>
    <w:rsid w:val="004B68CB"/>
    <w:rsid w:val="004B6D94"/>
    <w:rsid w:val="004C0085"/>
    <w:rsid w:val="004C0616"/>
    <w:rsid w:val="004C1307"/>
    <w:rsid w:val="004C18BA"/>
    <w:rsid w:val="004C18D5"/>
    <w:rsid w:val="004C19D8"/>
    <w:rsid w:val="004C4A0C"/>
    <w:rsid w:val="004C544A"/>
    <w:rsid w:val="004C5C68"/>
    <w:rsid w:val="004C5D28"/>
    <w:rsid w:val="004C60CA"/>
    <w:rsid w:val="004C63A3"/>
    <w:rsid w:val="004C6634"/>
    <w:rsid w:val="004C713F"/>
    <w:rsid w:val="004D1BF5"/>
    <w:rsid w:val="004D272A"/>
    <w:rsid w:val="004D344D"/>
    <w:rsid w:val="004D36DD"/>
    <w:rsid w:val="004D3AB5"/>
    <w:rsid w:val="004D55D2"/>
    <w:rsid w:val="004D6899"/>
    <w:rsid w:val="004D720D"/>
    <w:rsid w:val="004D7588"/>
    <w:rsid w:val="004E019D"/>
    <w:rsid w:val="004E1D7D"/>
    <w:rsid w:val="004E1EE1"/>
    <w:rsid w:val="004E43BF"/>
    <w:rsid w:val="004E4ADD"/>
    <w:rsid w:val="004E616D"/>
    <w:rsid w:val="004E6CE3"/>
    <w:rsid w:val="004E7575"/>
    <w:rsid w:val="004F073E"/>
    <w:rsid w:val="004F1218"/>
    <w:rsid w:val="004F24CE"/>
    <w:rsid w:val="004F2EA0"/>
    <w:rsid w:val="004F4778"/>
    <w:rsid w:val="004F4B7A"/>
    <w:rsid w:val="004F4DF4"/>
    <w:rsid w:val="004F5619"/>
    <w:rsid w:val="004F6815"/>
    <w:rsid w:val="004F7D82"/>
    <w:rsid w:val="00500138"/>
    <w:rsid w:val="005004F9"/>
    <w:rsid w:val="005016AD"/>
    <w:rsid w:val="00502530"/>
    <w:rsid w:val="00503F08"/>
    <w:rsid w:val="00504C68"/>
    <w:rsid w:val="005067D9"/>
    <w:rsid w:val="00511F6B"/>
    <w:rsid w:val="005125A5"/>
    <w:rsid w:val="005125DC"/>
    <w:rsid w:val="0051323F"/>
    <w:rsid w:val="0051342B"/>
    <w:rsid w:val="005136B8"/>
    <w:rsid w:val="00513DAF"/>
    <w:rsid w:val="0051440D"/>
    <w:rsid w:val="0051586A"/>
    <w:rsid w:val="00516C6A"/>
    <w:rsid w:val="0052070B"/>
    <w:rsid w:val="00520FF5"/>
    <w:rsid w:val="00523D8E"/>
    <w:rsid w:val="00523EB0"/>
    <w:rsid w:val="00525877"/>
    <w:rsid w:val="00527B17"/>
    <w:rsid w:val="0053129F"/>
    <w:rsid w:val="005322E4"/>
    <w:rsid w:val="00532F6E"/>
    <w:rsid w:val="0053331C"/>
    <w:rsid w:val="005337F0"/>
    <w:rsid w:val="00535E7A"/>
    <w:rsid w:val="0053649E"/>
    <w:rsid w:val="0053650C"/>
    <w:rsid w:val="00536D6E"/>
    <w:rsid w:val="00540ACF"/>
    <w:rsid w:val="005415A1"/>
    <w:rsid w:val="00546CD3"/>
    <w:rsid w:val="005503BB"/>
    <w:rsid w:val="00550544"/>
    <w:rsid w:val="005506CB"/>
    <w:rsid w:val="00551D83"/>
    <w:rsid w:val="005522AA"/>
    <w:rsid w:val="005534FA"/>
    <w:rsid w:val="00553D84"/>
    <w:rsid w:val="005603F5"/>
    <w:rsid w:val="00561024"/>
    <w:rsid w:val="00561282"/>
    <w:rsid w:val="00561424"/>
    <w:rsid w:val="00561741"/>
    <w:rsid w:val="0056234E"/>
    <w:rsid w:val="00563347"/>
    <w:rsid w:val="00563BC2"/>
    <w:rsid w:val="00564ACF"/>
    <w:rsid w:val="00565263"/>
    <w:rsid w:val="0056564F"/>
    <w:rsid w:val="00565E31"/>
    <w:rsid w:val="0056612A"/>
    <w:rsid w:val="00570579"/>
    <w:rsid w:val="00574608"/>
    <w:rsid w:val="005746A5"/>
    <w:rsid w:val="005756B8"/>
    <w:rsid w:val="00575744"/>
    <w:rsid w:val="005758A3"/>
    <w:rsid w:val="00577C16"/>
    <w:rsid w:val="005801BF"/>
    <w:rsid w:val="0058154C"/>
    <w:rsid w:val="00581BEF"/>
    <w:rsid w:val="005829C3"/>
    <w:rsid w:val="00582C74"/>
    <w:rsid w:val="005847D4"/>
    <w:rsid w:val="005850FE"/>
    <w:rsid w:val="00585D97"/>
    <w:rsid w:val="00586FEC"/>
    <w:rsid w:val="00587015"/>
    <w:rsid w:val="0059131D"/>
    <w:rsid w:val="005915B0"/>
    <w:rsid w:val="00593731"/>
    <w:rsid w:val="00593766"/>
    <w:rsid w:val="005942BF"/>
    <w:rsid w:val="0059552B"/>
    <w:rsid w:val="0059594E"/>
    <w:rsid w:val="00597D91"/>
    <w:rsid w:val="005A0819"/>
    <w:rsid w:val="005A09E8"/>
    <w:rsid w:val="005A204D"/>
    <w:rsid w:val="005A20BB"/>
    <w:rsid w:val="005A2B48"/>
    <w:rsid w:val="005A3DED"/>
    <w:rsid w:val="005A431E"/>
    <w:rsid w:val="005A5F85"/>
    <w:rsid w:val="005A6593"/>
    <w:rsid w:val="005B089D"/>
    <w:rsid w:val="005B2EFB"/>
    <w:rsid w:val="005B3B38"/>
    <w:rsid w:val="005B489E"/>
    <w:rsid w:val="005B4AED"/>
    <w:rsid w:val="005B4AF4"/>
    <w:rsid w:val="005B6EFC"/>
    <w:rsid w:val="005B7BA8"/>
    <w:rsid w:val="005C0BBB"/>
    <w:rsid w:val="005C0CCC"/>
    <w:rsid w:val="005C0F0C"/>
    <w:rsid w:val="005C17F0"/>
    <w:rsid w:val="005C3F7F"/>
    <w:rsid w:val="005C4344"/>
    <w:rsid w:val="005C5A5B"/>
    <w:rsid w:val="005C6ADC"/>
    <w:rsid w:val="005C7838"/>
    <w:rsid w:val="005D07EC"/>
    <w:rsid w:val="005D0F89"/>
    <w:rsid w:val="005D2500"/>
    <w:rsid w:val="005D2CE7"/>
    <w:rsid w:val="005D5090"/>
    <w:rsid w:val="005D5A07"/>
    <w:rsid w:val="005D6742"/>
    <w:rsid w:val="005D6A0A"/>
    <w:rsid w:val="005D6C57"/>
    <w:rsid w:val="005E0A92"/>
    <w:rsid w:val="005E0AA6"/>
    <w:rsid w:val="005E1B07"/>
    <w:rsid w:val="005E3688"/>
    <w:rsid w:val="005E5054"/>
    <w:rsid w:val="005E5EDF"/>
    <w:rsid w:val="005E7C8E"/>
    <w:rsid w:val="005F00DD"/>
    <w:rsid w:val="005F16CD"/>
    <w:rsid w:val="005F1A01"/>
    <w:rsid w:val="005F1F42"/>
    <w:rsid w:val="005F21EA"/>
    <w:rsid w:val="005F2EDF"/>
    <w:rsid w:val="005F33A4"/>
    <w:rsid w:val="005F438D"/>
    <w:rsid w:val="005F481F"/>
    <w:rsid w:val="005F4B9A"/>
    <w:rsid w:val="005F65CD"/>
    <w:rsid w:val="005F6E6F"/>
    <w:rsid w:val="005F7D09"/>
    <w:rsid w:val="006000FB"/>
    <w:rsid w:val="00600A6A"/>
    <w:rsid w:val="00600CE0"/>
    <w:rsid w:val="00601890"/>
    <w:rsid w:val="00601AB9"/>
    <w:rsid w:val="00602225"/>
    <w:rsid w:val="00603FBA"/>
    <w:rsid w:val="006050EE"/>
    <w:rsid w:val="00606134"/>
    <w:rsid w:val="0060786E"/>
    <w:rsid w:val="006101BC"/>
    <w:rsid w:val="00610E01"/>
    <w:rsid w:val="00611179"/>
    <w:rsid w:val="006111EE"/>
    <w:rsid w:val="00611E66"/>
    <w:rsid w:val="00612774"/>
    <w:rsid w:val="00612E78"/>
    <w:rsid w:val="00613641"/>
    <w:rsid w:val="00615036"/>
    <w:rsid w:val="00615A29"/>
    <w:rsid w:val="00616767"/>
    <w:rsid w:val="00617548"/>
    <w:rsid w:val="006178AC"/>
    <w:rsid w:val="00620D5B"/>
    <w:rsid w:val="0062250B"/>
    <w:rsid w:val="0062392F"/>
    <w:rsid w:val="00624F0B"/>
    <w:rsid w:val="0062522B"/>
    <w:rsid w:val="00625695"/>
    <w:rsid w:val="006258FA"/>
    <w:rsid w:val="00626DE8"/>
    <w:rsid w:val="006273A4"/>
    <w:rsid w:val="00627862"/>
    <w:rsid w:val="00627EE2"/>
    <w:rsid w:val="00630278"/>
    <w:rsid w:val="00632D99"/>
    <w:rsid w:val="00636D42"/>
    <w:rsid w:val="00637C39"/>
    <w:rsid w:val="00642CAD"/>
    <w:rsid w:val="00645AA9"/>
    <w:rsid w:val="00647324"/>
    <w:rsid w:val="006476AA"/>
    <w:rsid w:val="00650201"/>
    <w:rsid w:val="0065027A"/>
    <w:rsid w:val="006512B9"/>
    <w:rsid w:val="006513B3"/>
    <w:rsid w:val="0065143D"/>
    <w:rsid w:val="00651537"/>
    <w:rsid w:val="006518BB"/>
    <w:rsid w:val="00653458"/>
    <w:rsid w:val="00654E42"/>
    <w:rsid w:val="00656187"/>
    <w:rsid w:val="006562D8"/>
    <w:rsid w:val="0065667F"/>
    <w:rsid w:val="00661272"/>
    <w:rsid w:val="00662436"/>
    <w:rsid w:val="00662B44"/>
    <w:rsid w:val="006634D8"/>
    <w:rsid w:val="0066653E"/>
    <w:rsid w:val="0066660C"/>
    <w:rsid w:val="006668BA"/>
    <w:rsid w:val="006672C8"/>
    <w:rsid w:val="0066795B"/>
    <w:rsid w:val="00670C50"/>
    <w:rsid w:val="006719D4"/>
    <w:rsid w:val="00672435"/>
    <w:rsid w:val="00673128"/>
    <w:rsid w:val="00673211"/>
    <w:rsid w:val="006735AF"/>
    <w:rsid w:val="00675035"/>
    <w:rsid w:val="00675481"/>
    <w:rsid w:val="00677341"/>
    <w:rsid w:val="00677B83"/>
    <w:rsid w:val="00680FED"/>
    <w:rsid w:val="0068154E"/>
    <w:rsid w:val="006831A5"/>
    <w:rsid w:val="0068320C"/>
    <w:rsid w:val="00684D7F"/>
    <w:rsid w:val="00685C15"/>
    <w:rsid w:val="006864C1"/>
    <w:rsid w:val="006878A9"/>
    <w:rsid w:val="00687C2A"/>
    <w:rsid w:val="00690A31"/>
    <w:rsid w:val="00691195"/>
    <w:rsid w:val="006926C0"/>
    <w:rsid w:val="0069282B"/>
    <w:rsid w:val="00692F7C"/>
    <w:rsid w:val="00693982"/>
    <w:rsid w:val="0069668E"/>
    <w:rsid w:val="00696A8D"/>
    <w:rsid w:val="00697561"/>
    <w:rsid w:val="006A03A9"/>
    <w:rsid w:val="006A2CF8"/>
    <w:rsid w:val="006A3CFA"/>
    <w:rsid w:val="006A4FFE"/>
    <w:rsid w:val="006A5004"/>
    <w:rsid w:val="006A6804"/>
    <w:rsid w:val="006B1B2D"/>
    <w:rsid w:val="006B2407"/>
    <w:rsid w:val="006B2FC8"/>
    <w:rsid w:val="006B33B7"/>
    <w:rsid w:val="006B714D"/>
    <w:rsid w:val="006C0940"/>
    <w:rsid w:val="006C0EDD"/>
    <w:rsid w:val="006C0FAB"/>
    <w:rsid w:val="006C2F3F"/>
    <w:rsid w:val="006C3871"/>
    <w:rsid w:val="006C391C"/>
    <w:rsid w:val="006C40DC"/>
    <w:rsid w:val="006C46B3"/>
    <w:rsid w:val="006C4991"/>
    <w:rsid w:val="006C510A"/>
    <w:rsid w:val="006C5243"/>
    <w:rsid w:val="006C6C7B"/>
    <w:rsid w:val="006C78C0"/>
    <w:rsid w:val="006D0A96"/>
    <w:rsid w:val="006D0CE9"/>
    <w:rsid w:val="006D0F61"/>
    <w:rsid w:val="006D12F3"/>
    <w:rsid w:val="006D231B"/>
    <w:rsid w:val="006D5B21"/>
    <w:rsid w:val="006D5C9A"/>
    <w:rsid w:val="006D67D0"/>
    <w:rsid w:val="006D6AE0"/>
    <w:rsid w:val="006D7230"/>
    <w:rsid w:val="006D73D6"/>
    <w:rsid w:val="006D74E7"/>
    <w:rsid w:val="006E3802"/>
    <w:rsid w:val="006E425C"/>
    <w:rsid w:val="006E4991"/>
    <w:rsid w:val="006E6B81"/>
    <w:rsid w:val="006E7221"/>
    <w:rsid w:val="006E7709"/>
    <w:rsid w:val="006E7E02"/>
    <w:rsid w:val="006F0607"/>
    <w:rsid w:val="006F20A9"/>
    <w:rsid w:val="006F2A95"/>
    <w:rsid w:val="006F32FE"/>
    <w:rsid w:val="006F4B2F"/>
    <w:rsid w:val="006F4BF1"/>
    <w:rsid w:val="006F72B3"/>
    <w:rsid w:val="0070121F"/>
    <w:rsid w:val="007018C9"/>
    <w:rsid w:val="00701B1F"/>
    <w:rsid w:val="00701D7D"/>
    <w:rsid w:val="007033C6"/>
    <w:rsid w:val="00705293"/>
    <w:rsid w:val="007058B3"/>
    <w:rsid w:val="00706795"/>
    <w:rsid w:val="00706C18"/>
    <w:rsid w:val="00707748"/>
    <w:rsid w:val="00710C35"/>
    <w:rsid w:val="00710D0E"/>
    <w:rsid w:val="00711183"/>
    <w:rsid w:val="00713412"/>
    <w:rsid w:val="00713566"/>
    <w:rsid w:val="00714E0F"/>
    <w:rsid w:val="0071569B"/>
    <w:rsid w:val="007156F3"/>
    <w:rsid w:val="00715798"/>
    <w:rsid w:val="00716C0D"/>
    <w:rsid w:val="0071753A"/>
    <w:rsid w:val="0072021A"/>
    <w:rsid w:val="007209D2"/>
    <w:rsid w:val="00720C96"/>
    <w:rsid w:val="0072108B"/>
    <w:rsid w:val="0072149C"/>
    <w:rsid w:val="00721813"/>
    <w:rsid w:val="007221BF"/>
    <w:rsid w:val="00722CB4"/>
    <w:rsid w:val="00722F60"/>
    <w:rsid w:val="00723C10"/>
    <w:rsid w:val="00724552"/>
    <w:rsid w:val="00724FA3"/>
    <w:rsid w:val="00726300"/>
    <w:rsid w:val="00726560"/>
    <w:rsid w:val="007272CC"/>
    <w:rsid w:val="007318EE"/>
    <w:rsid w:val="00732017"/>
    <w:rsid w:val="00733D56"/>
    <w:rsid w:val="0073402A"/>
    <w:rsid w:val="00734456"/>
    <w:rsid w:val="007344F5"/>
    <w:rsid w:val="007347EA"/>
    <w:rsid w:val="00734AD3"/>
    <w:rsid w:val="00734F0C"/>
    <w:rsid w:val="0073513E"/>
    <w:rsid w:val="00735DE7"/>
    <w:rsid w:val="0073716C"/>
    <w:rsid w:val="00737AB4"/>
    <w:rsid w:val="007400B6"/>
    <w:rsid w:val="00741D9A"/>
    <w:rsid w:val="00743F86"/>
    <w:rsid w:val="0074437F"/>
    <w:rsid w:val="00746618"/>
    <w:rsid w:val="00746B05"/>
    <w:rsid w:val="00747591"/>
    <w:rsid w:val="00747B7D"/>
    <w:rsid w:val="0075057B"/>
    <w:rsid w:val="00751E60"/>
    <w:rsid w:val="00753938"/>
    <w:rsid w:val="007544E6"/>
    <w:rsid w:val="00754E82"/>
    <w:rsid w:val="00757A7E"/>
    <w:rsid w:val="0076115E"/>
    <w:rsid w:val="007617BB"/>
    <w:rsid w:val="00761A68"/>
    <w:rsid w:val="007621AB"/>
    <w:rsid w:val="00762B32"/>
    <w:rsid w:val="0076337E"/>
    <w:rsid w:val="00764F15"/>
    <w:rsid w:val="007664D7"/>
    <w:rsid w:val="00767401"/>
    <w:rsid w:val="00770173"/>
    <w:rsid w:val="007709EA"/>
    <w:rsid w:val="00771C0D"/>
    <w:rsid w:val="007720BC"/>
    <w:rsid w:val="007726CE"/>
    <w:rsid w:val="00772D08"/>
    <w:rsid w:val="00773100"/>
    <w:rsid w:val="00773C69"/>
    <w:rsid w:val="00773E5F"/>
    <w:rsid w:val="00774E8A"/>
    <w:rsid w:val="007752A1"/>
    <w:rsid w:val="007813EF"/>
    <w:rsid w:val="00782136"/>
    <w:rsid w:val="00782DD7"/>
    <w:rsid w:val="00784CFF"/>
    <w:rsid w:val="00785BCD"/>
    <w:rsid w:val="00785D72"/>
    <w:rsid w:val="00790FAA"/>
    <w:rsid w:val="007929E4"/>
    <w:rsid w:val="00792A51"/>
    <w:rsid w:val="00792CF0"/>
    <w:rsid w:val="00793BEE"/>
    <w:rsid w:val="00794788"/>
    <w:rsid w:val="007960F3"/>
    <w:rsid w:val="00796CE7"/>
    <w:rsid w:val="007A04E6"/>
    <w:rsid w:val="007A1658"/>
    <w:rsid w:val="007A4118"/>
    <w:rsid w:val="007A5AD6"/>
    <w:rsid w:val="007A64CA"/>
    <w:rsid w:val="007B12D4"/>
    <w:rsid w:val="007B292A"/>
    <w:rsid w:val="007B5E70"/>
    <w:rsid w:val="007B6463"/>
    <w:rsid w:val="007B79F8"/>
    <w:rsid w:val="007C07C0"/>
    <w:rsid w:val="007C0C2C"/>
    <w:rsid w:val="007C1224"/>
    <w:rsid w:val="007C1526"/>
    <w:rsid w:val="007C1FDB"/>
    <w:rsid w:val="007C2CDB"/>
    <w:rsid w:val="007C4742"/>
    <w:rsid w:val="007C48A0"/>
    <w:rsid w:val="007C4942"/>
    <w:rsid w:val="007C5278"/>
    <w:rsid w:val="007C5BE5"/>
    <w:rsid w:val="007C6DBF"/>
    <w:rsid w:val="007C7511"/>
    <w:rsid w:val="007D095E"/>
    <w:rsid w:val="007D09D7"/>
    <w:rsid w:val="007D2F53"/>
    <w:rsid w:val="007D3333"/>
    <w:rsid w:val="007D4A01"/>
    <w:rsid w:val="007D4FAF"/>
    <w:rsid w:val="007D5925"/>
    <w:rsid w:val="007D6A53"/>
    <w:rsid w:val="007E0361"/>
    <w:rsid w:val="007E063B"/>
    <w:rsid w:val="007E19F7"/>
    <w:rsid w:val="007E21AC"/>
    <w:rsid w:val="007E2A05"/>
    <w:rsid w:val="007E2EF7"/>
    <w:rsid w:val="007E3ACB"/>
    <w:rsid w:val="007E53C8"/>
    <w:rsid w:val="007E57AD"/>
    <w:rsid w:val="007E66B2"/>
    <w:rsid w:val="007E6C5B"/>
    <w:rsid w:val="007E7927"/>
    <w:rsid w:val="007F0BC7"/>
    <w:rsid w:val="007F27CB"/>
    <w:rsid w:val="007F2CBC"/>
    <w:rsid w:val="007F4010"/>
    <w:rsid w:val="007F4335"/>
    <w:rsid w:val="007F4BE7"/>
    <w:rsid w:val="007F593F"/>
    <w:rsid w:val="007F5BBE"/>
    <w:rsid w:val="007F6D8A"/>
    <w:rsid w:val="007F70C4"/>
    <w:rsid w:val="00800542"/>
    <w:rsid w:val="00800EB7"/>
    <w:rsid w:val="008021DD"/>
    <w:rsid w:val="008024F0"/>
    <w:rsid w:val="00802957"/>
    <w:rsid w:val="00802ADC"/>
    <w:rsid w:val="00802D3C"/>
    <w:rsid w:val="008037DA"/>
    <w:rsid w:val="00803C5D"/>
    <w:rsid w:val="00803CCB"/>
    <w:rsid w:val="008049F7"/>
    <w:rsid w:val="0080523D"/>
    <w:rsid w:val="00805712"/>
    <w:rsid w:val="00805CEF"/>
    <w:rsid w:val="00806705"/>
    <w:rsid w:val="00806B9A"/>
    <w:rsid w:val="00806E3E"/>
    <w:rsid w:val="008109D3"/>
    <w:rsid w:val="00810A59"/>
    <w:rsid w:val="00811345"/>
    <w:rsid w:val="00812674"/>
    <w:rsid w:val="00812904"/>
    <w:rsid w:val="00814672"/>
    <w:rsid w:val="00814795"/>
    <w:rsid w:val="008162C0"/>
    <w:rsid w:val="00816C80"/>
    <w:rsid w:val="0081738B"/>
    <w:rsid w:val="008175BA"/>
    <w:rsid w:val="00817DB2"/>
    <w:rsid w:val="00820862"/>
    <w:rsid w:val="008209CC"/>
    <w:rsid w:val="0082160A"/>
    <w:rsid w:val="00822148"/>
    <w:rsid w:val="008235BC"/>
    <w:rsid w:val="00824B8C"/>
    <w:rsid w:val="00825746"/>
    <w:rsid w:val="008269E6"/>
    <w:rsid w:val="00827180"/>
    <w:rsid w:val="00827440"/>
    <w:rsid w:val="008275D4"/>
    <w:rsid w:val="00827C5C"/>
    <w:rsid w:val="00827F31"/>
    <w:rsid w:val="00830CD6"/>
    <w:rsid w:val="008319C5"/>
    <w:rsid w:val="00831DDB"/>
    <w:rsid w:val="00832086"/>
    <w:rsid w:val="008322BB"/>
    <w:rsid w:val="00832B00"/>
    <w:rsid w:val="00833765"/>
    <w:rsid w:val="00833E7B"/>
    <w:rsid w:val="00834035"/>
    <w:rsid w:val="008362A4"/>
    <w:rsid w:val="00836FBB"/>
    <w:rsid w:val="00840333"/>
    <w:rsid w:val="0084128C"/>
    <w:rsid w:val="00842583"/>
    <w:rsid w:val="008435B7"/>
    <w:rsid w:val="0084386C"/>
    <w:rsid w:val="00844285"/>
    <w:rsid w:val="008449E0"/>
    <w:rsid w:val="00845430"/>
    <w:rsid w:val="00846107"/>
    <w:rsid w:val="00847CAC"/>
    <w:rsid w:val="00847F07"/>
    <w:rsid w:val="00850292"/>
    <w:rsid w:val="00851540"/>
    <w:rsid w:val="008519D7"/>
    <w:rsid w:val="00852233"/>
    <w:rsid w:val="00852D46"/>
    <w:rsid w:val="008530A0"/>
    <w:rsid w:val="00853DE9"/>
    <w:rsid w:val="008543DC"/>
    <w:rsid w:val="00854D3E"/>
    <w:rsid w:val="00855321"/>
    <w:rsid w:val="00855594"/>
    <w:rsid w:val="00855F5C"/>
    <w:rsid w:val="008606AB"/>
    <w:rsid w:val="00861327"/>
    <w:rsid w:val="00861873"/>
    <w:rsid w:val="00863361"/>
    <w:rsid w:val="00864807"/>
    <w:rsid w:val="008668B5"/>
    <w:rsid w:val="0087139C"/>
    <w:rsid w:val="00871E31"/>
    <w:rsid w:val="00871F58"/>
    <w:rsid w:val="00872C46"/>
    <w:rsid w:val="00872F42"/>
    <w:rsid w:val="00874596"/>
    <w:rsid w:val="00874B76"/>
    <w:rsid w:val="0087524C"/>
    <w:rsid w:val="00876648"/>
    <w:rsid w:val="00876B35"/>
    <w:rsid w:val="0087766A"/>
    <w:rsid w:val="00880C31"/>
    <w:rsid w:val="00882235"/>
    <w:rsid w:val="00884EFF"/>
    <w:rsid w:val="00885073"/>
    <w:rsid w:val="0088689D"/>
    <w:rsid w:val="00887C9D"/>
    <w:rsid w:val="008902EF"/>
    <w:rsid w:val="0089189B"/>
    <w:rsid w:val="008925A4"/>
    <w:rsid w:val="00893E93"/>
    <w:rsid w:val="00894412"/>
    <w:rsid w:val="008957A9"/>
    <w:rsid w:val="00895D24"/>
    <w:rsid w:val="00896DD3"/>
    <w:rsid w:val="00897016"/>
    <w:rsid w:val="008978BD"/>
    <w:rsid w:val="00897BD5"/>
    <w:rsid w:val="008A061B"/>
    <w:rsid w:val="008A06CC"/>
    <w:rsid w:val="008A0846"/>
    <w:rsid w:val="008A0E33"/>
    <w:rsid w:val="008A131A"/>
    <w:rsid w:val="008A20EE"/>
    <w:rsid w:val="008A23C3"/>
    <w:rsid w:val="008A2ECC"/>
    <w:rsid w:val="008A44F4"/>
    <w:rsid w:val="008A4CB3"/>
    <w:rsid w:val="008A5BD9"/>
    <w:rsid w:val="008A69CE"/>
    <w:rsid w:val="008A6C0A"/>
    <w:rsid w:val="008A6DB1"/>
    <w:rsid w:val="008A79FB"/>
    <w:rsid w:val="008B04AD"/>
    <w:rsid w:val="008B0951"/>
    <w:rsid w:val="008B1307"/>
    <w:rsid w:val="008B1F2B"/>
    <w:rsid w:val="008B2783"/>
    <w:rsid w:val="008B27D4"/>
    <w:rsid w:val="008B3C32"/>
    <w:rsid w:val="008B428D"/>
    <w:rsid w:val="008B5614"/>
    <w:rsid w:val="008B5BD5"/>
    <w:rsid w:val="008B73C2"/>
    <w:rsid w:val="008B7799"/>
    <w:rsid w:val="008C0529"/>
    <w:rsid w:val="008C2C01"/>
    <w:rsid w:val="008C2F75"/>
    <w:rsid w:val="008C41A1"/>
    <w:rsid w:val="008C4A3A"/>
    <w:rsid w:val="008C4A41"/>
    <w:rsid w:val="008C4BF8"/>
    <w:rsid w:val="008C5057"/>
    <w:rsid w:val="008C600B"/>
    <w:rsid w:val="008C6C58"/>
    <w:rsid w:val="008C6ED7"/>
    <w:rsid w:val="008D0060"/>
    <w:rsid w:val="008D18E8"/>
    <w:rsid w:val="008D1CCB"/>
    <w:rsid w:val="008D4ACB"/>
    <w:rsid w:val="008D4F7D"/>
    <w:rsid w:val="008D502A"/>
    <w:rsid w:val="008D5421"/>
    <w:rsid w:val="008D6293"/>
    <w:rsid w:val="008D761A"/>
    <w:rsid w:val="008E2642"/>
    <w:rsid w:val="008E2715"/>
    <w:rsid w:val="008E2C19"/>
    <w:rsid w:val="008E3221"/>
    <w:rsid w:val="008E3317"/>
    <w:rsid w:val="008E6676"/>
    <w:rsid w:val="008E6D8F"/>
    <w:rsid w:val="008E728A"/>
    <w:rsid w:val="008E7EDF"/>
    <w:rsid w:val="008F0048"/>
    <w:rsid w:val="008F1BA1"/>
    <w:rsid w:val="008F2A6E"/>
    <w:rsid w:val="008F4156"/>
    <w:rsid w:val="008F783E"/>
    <w:rsid w:val="00900743"/>
    <w:rsid w:val="009007DA"/>
    <w:rsid w:val="0090156F"/>
    <w:rsid w:val="0090231F"/>
    <w:rsid w:val="009029AD"/>
    <w:rsid w:val="00903641"/>
    <w:rsid w:val="00904137"/>
    <w:rsid w:val="009049D8"/>
    <w:rsid w:val="009056D2"/>
    <w:rsid w:val="00906786"/>
    <w:rsid w:val="00910059"/>
    <w:rsid w:val="00911BDC"/>
    <w:rsid w:val="00911D31"/>
    <w:rsid w:val="00911E92"/>
    <w:rsid w:val="00913B0F"/>
    <w:rsid w:val="00915617"/>
    <w:rsid w:val="00915AB3"/>
    <w:rsid w:val="00915BBD"/>
    <w:rsid w:val="00916F31"/>
    <w:rsid w:val="00916FE3"/>
    <w:rsid w:val="0092199D"/>
    <w:rsid w:val="00922D51"/>
    <w:rsid w:val="00923B1D"/>
    <w:rsid w:val="00925907"/>
    <w:rsid w:val="009270E1"/>
    <w:rsid w:val="0092799C"/>
    <w:rsid w:val="00927D09"/>
    <w:rsid w:val="00927E19"/>
    <w:rsid w:val="00927F7C"/>
    <w:rsid w:val="00930B20"/>
    <w:rsid w:val="00931B96"/>
    <w:rsid w:val="0093341F"/>
    <w:rsid w:val="00936276"/>
    <w:rsid w:val="00937E96"/>
    <w:rsid w:val="00940A67"/>
    <w:rsid w:val="00940FB0"/>
    <w:rsid w:val="00943D40"/>
    <w:rsid w:val="0094547C"/>
    <w:rsid w:val="0094793A"/>
    <w:rsid w:val="00950886"/>
    <w:rsid w:val="00951FEE"/>
    <w:rsid w:val="0095206A"/>
    <w:rsid w:val="009528F8"/>
    <w:rsid w:val="0095458F"/>
    <w:rsid w:val="0095798F"/>
    <w:rsid w:val="00957F2C"/>
    <w:rsid w:val="00960342"/>
    <w:rsid w:val="00961709"/>
    <w:rsid w:val="00962FB2"/>
    <w:rsid w:val="00963251"/>
    <w:rsid w:val="00963D0E"/>
    <w:rsid w:val="00965A6A"/>
    <w:rsid w:val="009664EC"/>
    <w:rsid w:val="009669D0"/>
    <w:rsid w:val="00967EED"/>
    <w:rsid w:val="00971C9C"/>
    <w:rsid w:val="009738B5"/>
    <w:rsid w:val="00974919"/>
    <w:rsid w:val="00974D68"/>
    <w:rsid w:val="009752B7"/>
    <w:rsid w:val="00975A95"/>
    <w:rsid w:val="00976BFF"/>
    <w:rsid w:val="00980005"/>
    <w:rsid w:val="009830E3"/>
    <w:rsid w:val="00985537"/>
    <w:rsid w:val="00985EEE"/>
    <w:rsid w:val="0098631F"/>
    <w:rsid w:val="0098745C"/>
    <w:rsid w:val="00987C5D"/>
    <w:rsid w:val="00987C5F"/>
    <w:rsid w:val="00990FCA"/>
    <w:rsid w:val="0099300F"/>
    <w:rsid w:val="00996207"/>
    <w:rsid w:val="00997D30"/>
    <w:rsid w:val="00997E8B"/>
    <w:rsid w:val="009A06C3"/>
    <w:rsid w:val="009A1474"/>
    <w:rsid w:val="009A2F79"/>
    <w:rsid w:val="009A34C0"/>
    <w:rsid w:val="009A48EE"/>
    <w:rsid w:val="009A54AC"/>
    <w:rsid w:val="009A5511"/>
    <w:rsid w:val="009A57E3"/>
    <w:rsid w:val="009A5857"/>
    <w:rsid w:val="009A7CA6"/>
    <w:rsid w:val="009B0FD1"/>
    <w:rsid w:val="009B1ECF"/>
    <w:rsid w:val="009B3311"/>
    <w:rsid w:val="009B3461"/>
    <w:rsid w:val="009B35DD"/>
    <w:rsid w:val="009B4334"/>
    <w:rsid w:val="009B5409"/>
    <w:rsid w:val="009B5A8B"/>
    <w:rsid w:val="009C00BB"/>
    <w:rsid w:val="009C081E"/>
    <w:rsid w:val="009C11A8"/>
    <w:rsid w:val="009C17E7"/>
    <w:rsid w:val="009C2015"/>
    <w:rsid w:val="009C3205"/>
    <w:rsid w:val="009C4B56"/>
    <w:rsid w:val="009C616D"/>
    <w:rsid w:val="009C65BD"/>
    <w:rsid w:val="009D05BE"/>
    <w:rsid w:val="009D10AF"/>
    <w:rsid w:val="009D10DD"/>
    <w:rsid w:val="009D1274"/>
    <w:rsid w:val="009D1F36"/>
    <w:rsid w:val="009D33E4"/>
    <w:rsid w:val="009D43B2"/>
    <w:rsid w:val="009D6629"/>
    <w:rsid w:val="009D6D1B"/>
    <w:rsid w:val="009D7CE8"/>
    <w:rsid w:val="009E136B"/>
    <w:rsid w:val="009E296A"/>
    <w:rsid w:val="009E35E5"/>
    <w:rsid w:val="009E514D"/>
    <w:rsid w:val="009E5E0A"/>
    <w:rsid w:val="009E61B2"/>
    <w:rsid w:val="009E6D87"/>
    <w:rsid w:val="009E6DA4"/>
    <w:rsid w:val="009E70CB"/>
    <w:rsid w:val="009E70F5"/>
    <w:rsid w:val="009E79BC"/>
    <w:rsid w:val="009F0B25"/>
    <w:rsid w:val="009F10BF"/>
    <w:rsid w:val="009F14B0"/>
    <w:rsid w:val="009F25D0"/>
    <w:rsid w:val="009F4089"/>
    <w:rsid w:val="009F4339"/>
    <w:rsid w:val="009F504C"/>
    <w:rsid w:val="009F5AA8"/>
    <w:rsid w:val="009F61A0"/>
    <w:rsid w:val="00A0056C"/>
    <w:rsid w:val="00A005A6"/>
    <w:rsid w:val="00A00CA5"/>
    <w:rsid w:val="00A019B8"/>
    <w:rsid w:val="00A02555"/>
    <w:rsid w:val="00A03F0A"/>
    <w:rsid w:val="00A04100"/>
    <w:rsid w:val="00A04A29"/>
    <w:rsid w:val="00A060A7"/>
    <w:rsid w:val="00A06756"/>
    <w:rsid w:val="00A0749B"/>
    <w:rsid w:val="00A07C28"/>
    <w:rsid w:val="00A10993"/>
    <w:rsid w:val="00A12DD8"/>
    <w:rsid w:val="00A13604"/>
    <w:rsid w:val="00A14950"/>
    <w:rsid w:val="00A208DE"/>
    <w:rsid w:val="00A20F02"/>
    <w:rsid w:val="00A245F6"/>
    <w:rsid w:val="00A24C39"/>
    <w:rsid w:val="00A25804"/>
    <w:rsid w:val="00A262C2"/>
    <w:rsid w:val="00A26F9A"/>
    <w:rsid w:val="00A27752"/>
    <w:rsid w:val="00A30E0F"/>
    <w:rsid w:val="00A34135"/>
    <w:rsid w:val="00A34F4F"/>
    <w:rsid w:val="00A3642F"/>
    <w:rsid w:val="00A374A3"/>
    <w:rsid w:val="00A42C05"/>
    <w:rsid w:val="00A430B3"/>
    <w:rsid w:val="00A44610"/>
    <w:rsid w:val="00A466D9"/>
    <w:rsid w:val="00A47383"/>
    <w:rsid w:val="00A50303"/>
    <w:rsid w:val="00A509B4"/>
    <w:rsid w:val="00A50BC1"/>
    <w:rsid w:val="00A515D7"/>
    <w:rsid w:val="00A52031"/>
    <w:rsid w:val="00A528DE"/>
    <w:rsid w:val="00A53320"/>
    <w:rsid w:val="00A53E47"/>
    <w:rsid w:val="00A543CE"/>
    <w:rsid w:val="00A6244D"/>
    <w:rsid w:val="00A62F7D"/>
    <w:rsid w:val="00A637D6"/>
    <w:rsid w:val="00A63CEA"/>
    <w:rsid w:val="00A641FB"/>
    <w:rsid w:val="00A65955"/>
    <w:rsid w:val="00A659D1"/>
    <w:rsid w:val="00A66B39"/>
    <w:rsid w:val="00A7135F"/>
    <w:rsid w:val="00A713CA"/>
    <w:rsid w:val="00A7189C"/>
    <w:rsid w:val="00A736BF"/>
    <w:rsid w:val="00A75DC2"/>
    <w:rsid w:val="00A76A64"/>
    <w:rsid w:val="00A77BA9"/>
    <w:rsid w:val="00A8002C"/>
    <w:rsid w:val="00A800F0"/>
    <w:rsid w:val="00A81482"/>
    <w:rsid w:val="00A81A79"/>
    <w:rsid w:val="00A81D22"/>
    <w:rsid w:val="00A81E61"/>
    <w:rsid w:val="00A82BE2"/>
    <w:rsid w:val="00A82C04"/>
    <w:rsid w:val="00A85CA6"/>
    <w:rsid w:val="00A85FC0"/>
    <w:rsid w:val="00A8695D"/>
    <w:rsid w:val="00A8729A"/>
    <w:rsid w:val="00A87A85"/>
    <w:rsid w:val="00A9098A"/>
    <w:rsid w:val="00A920BB"/>
    <w:rsid w:val="00A94D34"/>
    <w:rsid w:val="00A95491"/>
    <w:rsid w:val="00A95A9A"/>
    <w:rsid w:val="00A95DD7"/>
    <w:rsid w:val="00A965B9"/>
    <w:rsid w:val="00A973BB"/>
    <w:rsid w:val="00A978C7"/>
    <w:rsid w:val="00AA0432"/>
    <w:rsid w:val="00AA08DC"/>
    <w:rsid w:val="00AA1C38"/>
    <w:rsid w:val="00AA2AF3"/>
    <w:rsid w:val="00AA3AA6"/>
    <w:rsid w:val="00AA3B71"/>
    <w:rsid w:val="00AA44B1"/>
    <w:rsid w:val="00AA5723"/>
    <w:rsid w:val="00AB04B6"/>
    <w:rsid w:val="00AB1092"/>
    <w:rsid w:val="00AB1A29"/>
    <w:rsid w:val="00AB2C26"/>
    <w:rsid w:val="00AB36C2"/>
    <w:rsid w:val="00AB5459"/>
    <w:rsid w:val="00AB61F7"/>
    <w:rsid w:val="00AB69FA"/>
    <w:rsid w:val="00AB6DFD"/>
    <w:rsid w:val="00AB72D7"/>
    <w:rsid w:val="00AB7767"/>
    <w:rsid w:val="00AC1898"/>
    <w:rsid w:val="00AC37E9"/>
    <w:rsid w:val="00AC476A"/>
    <w:rsid w:val="00AC5615"/>
    <w:rsid w:val="00AC5DC2"/>
    <w:rsid w:val="00AC625E"/>
    <w:rsid w:val="00AC669E"/>
    <w:rsid w:val="00AD0E34"/>
    <w:rsid w:val="00AD3A87"/>
    <w:rsid w:val="00AD3C36"/>
    <w:rsid w:val="00AD558A"/>
    <w:rsid w:val="00AD6C0B"/>
    <w:rsid w:val="00AD6D29"/>
    <w:rsid w:val="00AD762E"/>
    <w:rsid w:val="00AD7E4F"/>
    <w:rsid w:val="00AE2494"/>
    <w:rsid w:val="00AE2EE4"/>
    <w:rsid w:val="00AE3B31"/>
    <w:rsid w:val="00AE3D7D"/>
    <w:rsid w:val="00AE433F"/>
    <w:rsid w:val="00AE4A6E"/>
    <w:rsid w:val="00AE5FB0"/>
    <w:rsid w:val="00AE6A8E"/>
    <w:rsid w:val="00AF0F25"/>
    <w:rsid w:val="00AF11E8"/>
    <w:rsid w:val="00AF1A7D"/>
    <w:rsid w:val="00AF2D5A"/>
    <w:rsid w:val="00AF3219"/>
    <w:rsid w:val="00AF43EA"/>
    <w:rsid w:val="00AF5F6A"/>
    <w:rsid w:val="00AF608C"/>
    <w:rsid w:val="00AF6317"/>
    <w:rsid w:val="00AF66A5"/>
    <w:rsid w:val="00B0248F"/>
    <w:rsid w:val="00B0455C"/>
    <w:rsid w:val="00B05568"/>
    <w:rsid w:val="00B05D7E"/>
    <w:rsid w:val="00B103DA"/>
    <w:rsid w:val="00B10C32"/>
    <w:rsid w:val="00B13CFD"/>
    <w:rsid w:val="00B150D2"/>
    <w:rsid w:val="00B156B5"/>
    <w:rsid w:val="00B15DEC"/>
    <w:rsid w:val="00B168C0"/>
    <w:rsid w:val="00B16A0A"/>
    <w:rsid w:val="00B16B41"/>
    <w:rsid w:val="00B175E9"/>
    <w:rsid w:val="00B213FB"/>
    <w:rsid w:val="00B230EA"/>
    <w:rsid w:val="00B23CAF"/>
    <w:rsid w:val="00B247DE"/>
    <w:rsid w:val="00B249E0"/>
    <w:rsid w:val="00B25260"/>
    <w:rsid w:val="00B30154"/>
    <w:rsid w:val="00B30333"/>
    <w:rsid w:val="00B31560"/>
    <w:rsid w:val="00B32474"/>
    <w:rsid w:val="00B33555"/>
    <w:rsid w:val="00B3363A"/>
    <w:rsid w:val="00B33C9E"/>
    <w:rsid w:val="00B3489F"/>
    <w:rsid w:val="00B36C5E"/>
    <w:rsid w:val="00B374D3"/>
    <w:rsid w:val="00B377DC"/>
    <w:rsid w:val="00B37B15"/>
    <w:rsid w:val="00B37BAA"/>
    <w:rsid w:val="00B41A2A"/>
    <w:rsid w:val="00B4203D"/>
    <w:rsid w:val="00B42489"/>
    <w:rsid w:val="00B42D37"/>
    <w:rsid w:val="00B431CD"/>
    <w:rsid w:val="00B4452F"/>
    <w:rsid w:val="00B449C8"/>
    <w:rsid w:val="00B44FE4"/>
    <w:rsid w:val="00B45825"/>
    <w:rsid w:val="00B45AC0"/>
    <w:rsid w:val="00B4619C"/>
    <w:rsid w:val="00B46B2F"/>
    <w:rsid w:val="00B4716A"/>
    <w:rsid w:val="00B4735B"/>
    <w:rsid w:val="00B474D1"/>
    <w:rsid w:val="00B47621"/>
    <w:rsid w:val="00B5064B"/>
    <w:rsid w:val="00B51C53"/>
    <w:rsid w:val="00B51F7C"/>
    <w:rsid w:val="00B522FF"/>
    <w:rsid w:val="00B52EA4"/>
    <w:rsid w:val="00B5538A"/>
    <w:rsid w:val="00B5538D"/>
    <w:rsid w:val="00B55BB6"/>
    <w:rsid w:val="00B561ED"/>
    <w:rsid w:val="00B56A20"/>
    <w:rsid w:val="00B5778B"/>
    <w:rsid w:val="00B57CB7"/>
    <w:rsid w:val="00B6068A"/>
    <w:rsid w:val="00B6086F"/>
    <w:rsid w:val="00B61142"/>
    <w:rsid w:val="00B61C57"/>
    <w:rsid w:val="00B620EA"/>
    <w:rsid w:val="00B6226F"/>
    <w:rsid w:val="00B624FB"/>
    <w:rsid w:val="00B625BF"/>
    <w:rsid w:val="00B630DD"/>
    <w:rsid w:val="00B645E5"/>
    <w:rsid w:val="00B65772"/>
    <w:rsid w:val="00B66138"/>
    <w:rsid w:val="00B66C49"/>
    <w:rsid w:val="00B674A3"/>
    <w:rsid w:val="00B71C07"/>
    <w:rsid w:val="00B7339B"/>
    <w:rsid w:val="00B7509C"/>
    <w:rsid w:val="00B75179"/>
    <w:rsid w:val="00B7609F"/>
    <w:rsid w:val="00B76409"/>
    <w:rsid w:val="00B7664E"/>
    <w:rsid w:val="00B768BC"/>
    <w:rsid w:val="00B77B01"/>
    <w:rsid w:val="00B809B5"/>
    <w:rsid w:val="00B81D56"/>
    <w:rsid w:val="00B83D71"/>
    <w:rsid w:val="00B83F9C"/>
    <w:rsid w:val="00B8474E"/>
    <w:rsid w:val="00B84B80"/>
    <w:rsid w:val="00B84F90"/>
    <w:rsid w:val="00B86A9C"/>
    <w:rsid w:val="00B870A8"/>
    <w:rsid w:val="00B871F0"/>
    <w:rsid w:val="00B92361"/>
    <w:rsid w:val="00B931EC"/>
    <w:rsid w:val="00B93B59"/>
    <w:rsid w:val="00B93F2F"/>
    <w:rsid w:val="00B95262"/>
    <w:rsid w:val="00BA06E8"/>
    <w:rsid w:val="00BA1A55"/>
    <w:rsid w:val="00BA3803"/>
    <w:rsid w:val="00BA5F26"/>
    <w:rsid w:val="00BA7394"/>
    <w:rsid w:val="00BA7CA7"/>
    <w:rsid w:val="00BB279B"/>
    <w:rsid w:val="00BB27DD"/>
    <w:rsid w:val="00BB3DED"/>
    <w:rsid w:val="00BB4B09"/>
    <w:rsid w:val="00BB5C68"/>
    <w:rsid w:val="00BB61AC"/>
    <w:rsid w:val="00BB7CB8"/>
    <w:rsid w:val="00BB7FD1"/>
    <w:rsid w:val="00BC0077"/>
    <w:rsid w:val="00BC0DF2"/>
    <w:rsid w:val="00BC0EDA"/>
    <w:rsid w:val="00BC184A"/>
    <w:rsid w:val="00BC2ADA"/>
    <w:rsid w:val="00BC440E"/>
    <w:rsid w:val="00BC5219"/>
    <w:rsid w:val="00BC5B72"/>
    <w:rsid w:val="00BC5BA7"/>
    <w:rsid w:val="00BC5EFD"/>
    <w:rsid w:val="00BC757B"/>
    <w:rsid w:val="00BD0059"/>
    <w:rsid w:val="00BD0336"/>
    <w:rsid w:val="00BD0F33"/>
    <w:rsid w:val="00BD1729"/>
    <w:rsid w:val="00BD2543"/>
    <w:rsid w:val="00BD2A47"/>
    <w:rsid w:val="00BD47E8"/>
    <w:rsid w:val="00BD4AB9"/>
    <w:rsid w:val="00BE0115"/>
    <w:rsid w:val="00BE1605"/>
    <w:rsid w:val="00BE1DD8"/>
    <w:rsid w:val="00BE2BB9"/>
    <w:rsid w:val="00BE2CF2"/>
    <w:rsid w:val="00BE3779"/>
    <w:rsid w:val="00BE37E9"/>
    <w:rsid w:val="00BE47CD"/>
    <w:rsid w:val="00BE491C"/>
    <w:rsid w:val="00BE4BFF"/>
    <w:rsid w:val="00BE51D8"/>
    <w:rsid w:val="00BE53EA"/>
    <w:rsid w:val="00BE5BA9"/>
    <w:rsid w:val="00BF010A"/>
    <w:rsid w:val="00BF1485"/>
    <w:rsid w:val="00BF382D"/>
    <w:rsid w:val="00BF46AD"/>
    <w:rsid w:val="00BF52BD"/>
    <w:rsid w:val="00BF706B"/>
    <w:rsid w:val="00BF7B14"/>
    <w:rsid w:val="00C00703"/>
    <w:rsid w:val="00C0143A"/>
    <w:rsid w:val="00C01A8C"/>
    <w:rsid w:val="00C0210E"/>
    <w:rsid w:val="00C02AA0"/>
    <w:rsid w:val="00C03503"/>
    <w:rsid w:val="00C06B0F"/>
    <w:rsid w:val="00C0797C"/>
    <w:rsid w:val="00C13930"/>
    <w:rsid w:val="00C14B91"/>
    <w:rsid w:val="00C15EED"/>
    <w:rsid w:val="00C168D3"/>
    <w:rsid w:val="00C2182A"/>
    <w:rsid w:val="00C21B64"/>
    <w:rsid w:val="00C22BE1"/>
    <w:rsid w:val="00C23953"/>
    <w:rsid w:val="00C24C4D"/>
    <w:rsid w:val="00C27AFC"/>
    <w:rsid w:val="00C27CCA"/>
    <w:rsid w:val="00C306DF"/>
    <w:rsid w:val="00C31353"/>
    <w:rsid w:val="00C324BA"/>
    <w:rsid w:val="00C33407"/>
    <w:rsid w:val="00C36B5B"/>
    <w:rsid w:val="00C37307"/>
    <w:rsid w:val="00C37658"/>
    <w:rsid w:val="00C40A87"/>
    <w:rsid w:val="00C4140A"/>
    <w:rsid w:val="00C4238C"/>
    <w:rsid w:val="00C42658"/>
    <w:rsid w:val="00C43BD6"/>
    <w:rsid w:val="00C44682"/>
    <w:rsid w:val="00C44ED3"/>
    <w:rsid w:val="00C45107"/>
    <w:rsid w:val="00C458A8"/>
    <w:rsid w:val="00C45940"/>
    <w:rsid w:val="00C50C8B"/>
    <w:rsid w:val="00C51CA9"/>
    <w:rsid w:val="00C56CFE"/>
    <w:rsid w:val="00C57675"/>
    <w:rsid w:val="00C603FA"/>
    <w:rsid w:val="00C604C5"/>
    <w:rsid w:val="00C60AB8"/>
    <w:rsid w:val="00C64488"/>
    <w:rsid w:val="00C652F1"/>
    <w:rsid w:val="00C6548C"/>
    <w:rsid w:val="00C6629D"/>
    <w:rsid w:val="00C665D6"/>
    <w:rsid w:val="00C6741C"/>
    <w:rsid w:val="00C74FB3"/>
    <w:rsid w:val="00C80DAE"/>
    <w:rsid w:val="00C8373D"/>
    <w:rsid w:val="00C84515"/>
    <w:rsid w:val="00C85677"/>
    <w:rsid w:val="00C872DD"/>
    <w:rsid w:val="00C87A2A"/>
    <w:rsid w:val="00C91270"/>
    <w:rsid w:val="00C92645"/>
    <w:rsid w:val="00C933DB"/>
    <w:rsid w:val="00C95B62"/>
    <w:rsid w:val="00C96863"/>
    <w:rsid w:val="00CA252A"/>
    <w:rsid w:val="00CA363A"/>
    <w:rsid w:val="00CA3E46"/>
    <w:rsid w:val="00CA499D"/>
    <w:rsid w:val="00CA4C19"/>
    <w:rsid w:val="00CA53D0"/>
    <w:rsid w:val="00CA613C"/>
    <w:rsid w:val="00CA68C6"/>
    <w:rsid w:val="00CA6D5A"/>
    <w:rsid w:val="00CB0A1D"/>
    <w:rsid w:val="00CB0FB1"/>
    <w:rsid w:val="00CB1171"/>
    <w:rsid w:val="00CB1BE2"/>
    <w:rsid w:val="00CB3C62"/>
    <w:rsid w:val="00CB4B0F"/>
    <w:rsid w:val="00CB4B9E"/>
    <w:rsid w:val="00CB4DA7"/>
    <w:rsid w:val="00CB4DF6"/>
    <w:rsid w:val="00CB597E"/>
    <w:rsid w:val="00CB6864"/>
    <w:rsid w:val="00CB6AB1"/>
    <w:rsid w:val="00CB7162"/>
    <w:rsid w:val="00CC1764"/>
    <w:rsid w:val="00CC26A7"/>
    <w:rsid w:val="00CC2778"/>
    <w:rsid w:val="00CC3596"/>
    <w:rsid w:val="00CC54DD"/>
    <w:rsid w:val="00CC5C99"/>
    <w:rsid w:val="00CC636C"/>
    <w:rsid w:val="00CD1788"/>
    <w:rsid w:val="00CD23C0"/>
    <w:rsid w:val="00CD2634"/>
    <w:rsid w:val="00CD373F"/>
    <w:rsid w:val="00CD37B7"/>
    <w:rsid w:val="00CD61E5"/>
    <w:rsid w:val="00CD74EE"/>
    <w:rsid w:val="00CD793C"/>
    <w:rsid w:val="00CD79DA"/>
    <w:rsid w:val="00CD7C9D"/>
    <w:rsid w:val="00CE0578"/>
    <w:rsid w:val="00CE1396"/>
    <w:rsid w:val="00CE2B7E"/>
    <w:rsid w:val="00CE2CD5"/>
    <w:rsid w:val="00CE347B"/>
    <w:rsid w:val="00CE5BCA"/>
    <w:rsid w:val="00CE624B"/>
    <w:rsid w:val="00CE6292"/>
    <w:rsid w:val="00CE796B"/>
    <w:rsid w:val="00CF0B88"/>
    <w:rsid w:val="00CF33E8"/>
    <w:rsid w:val="00CF4E86"/>
    <w:rsid w:val="00CF5D7F"/>
    <w:rsid w:val="00CF6312"/>
    <w:rsid w:val="00CF7F43"/>
    <w:rsid w:val="00D002D0"/>
    <w:rsid w:val="00D00A7D"/>
    <w:rsid w:val="00D0235A"/>
    <w:rsid w:val="00D031E0"/>
    <w:rsid w:val="00D064CF"/>
    <w:rsid w:val="00D0707E"/>
    <w:rsid w:val="00D074CA"/>
    <w:rsid w:val="00D1137C"/>
    <w:rsid w:val="00D1252F"/>
    <w:rsid w:val="00D12C89"/>
    <w:rsid w:val="00D12ECE"/>
    <w:rsid w:val="00D13119"/>
    <w:rsid w:val="00D13861"/>
    <w:rsid w:val="00D13DC1"/>
    <w:rsid w:val="00D148B6"/>
    <w:rsid w:val="00D14A12"/>
    <w:rsid w:val="00D14FE5"/>
    <w:rsid w:val="00D15080"/>
    <w:rsid w:val="00D16232"/>
    <w:rsid w:val="00D16907"/>
    <w:rsid w:val="00D20B00"/>
    <w:rsid w:val="00D20B4D"/>
    <w:rsid w:val="00D20E70"/>
    <w:rsid w:val="00D22050"/>
    <w:rsid w:val="00D22D20"/>
    <w:rsid w:val="00D22D75"/>
    <w:rsid w:val="00D23339"/>
    <w:rsid w:val="00D23818"/>
    <w:rsid w:val="00D23BCB"/>
    <w:rsid w:val="00D250EA"/>
    <w:rsid w:val="00D265FE"/>
    <w:rsid w:val="00D272DC"/>
    <w:rsid w:val="00D274DD"/>
    <w:rsid w:val="00D308DE"/>
    <w:rsid w:val="00D3168B"/>
    <w:rsid w:val="00D32347"/>
    <w:rsid w:val="00D331F7"/>
    <w:rsid w:val="00D34313"/>
    <w:rsid w:val="00D348C5"/>
    <w:rsid w:val="00D34B2D"/>
    <w:rsid w:val="00D360AA"/>
    <w:rsid w:val="00D3689D"/>
    <w:rsid w:val="00D42044"/>
    <w:rsid w:val="00D42EC3"/>
    <w:rsid w:val="00D439F6"/>
    <w:rsid w:val="00D445B7"/>
    <w:rsid w:val="00D45441"/>
    <w:rsid w:val="00D45CFD"/>
    <w:rsid w:val="00D50471"/>
    <w:rsid w:val="00D5063D"/>
    <w:rsid w:val="00D52934"/>
    <w:rsid w:val="00D52AC8"/>
    <w:rsid w:val="00D52EB2"/>
    <w:rsid w:val="00D52EE4"/>
    <w:rsid w:val="00D53CAE"/>
    <w:rsid w:val="00D541B9"/>
    <w:rsid w:val="00D546A8"/>
    <w:rsid w:val="00D55353"/>
    <w:rsid w:val="00D556BA"/>
    <w:rsid w:val="00D55F80"/>
    <w:rsid w:val="00D5688F"/>
    <w:rsid w:val="00D60C62"/>
    <w:rsid w:val="00D60DD2"/>
    <w:rsid w:val="00D612B1"/>
    <w:rsid w:val="00D6391A"/>
    <w:rsid w:val="00D63E31"/>
    <w:rsid w:val="00D640C2"/>
    <w:rsid w:val="00D6433F"/>
    <w:rsid w:val="00D6637C"/>
    <w:rsid w:val="00D66672"/>
    <w:rsid w:val="00D6678B"/>
    <w:rsid w:val="00D67210"/>
    <w:rsid w:val="00D6777F"/>
    <w:rsid w:val="00D67B76"/>
    <w:rsid w:val="00D67FCE"/>
    <w:rsid w:val="00D712C3"/>
    <w:rsid w:val="00D72564"/>
    <w:rsid w:val="00D743B5"/>
    <w:rsid w:val="00D7477E"/>
    <w:rsid w:val="00D765C3"/>
    <w:rsid w:val="00D76B94"/>
    <w:rsid w:val="00D76C33"/>
    <w:rsid w:val="00D82CD0"/>
    <w:rsid w:val="00D83D3A"/>
    <w:rsid w:val="00D84ECE"/>
    <w:rsid w:val="00D84F38"/>
    <w:rsid w:val="00D86201"/>
    <w:rsid w:val="00D869FC"/>
    <w:rsid w:val="00D9047B"/>
    <w:rsid w:val="00D90956"/>
    <w:rsid w:val="00D931F9"/>
    <w:rsid w:val="00D938C4"/>
    <w:rsid w:val="00D93E20"/>
    <w:rsid w:val="00D9633E"/>
    <w:rsid w:val="00D96A99"/>
    <w:rsid w:val="00DA1BE9"/>
    <w:rsid w:val="00DA1D65"/>
    <w:rsid w:val="00DA3258"/>
    <w:rsid w:val="00DA39CC"/>
    <w:rsid w:val="00DA591C"/>
    <w:rsid w:val="00DA62D2"/>
    <w:rsid w:val="00DA63C2"/>
    <w:rsid w:val="00DB1A7F"/>
    <w:rsid w:val="00DB1B3D"/>
    <w:rsid w:val="00DB1E78"/>
    <w:rsid w:val="00DB3112"/>
    <w:rsid w:val="00DB4CB2"/>
    <w:rsid w:val="00DB4CF8"/>
    <w:rsid w:val="00DB5DB9"/>
    <w:rsid w:val="00DB6089"/>
    <w:rsid w:val="00DB697B"/>
    <w:rsid w:val="00DB797D"/>
    <w:rsid w:val="00DB7B3A"/>
    <w:rsid w:val="00DC04CC"/>
    <w:rsid w:val="00DC1306"/>
    <w:rsid w:val="00DC31DD"/>
    <w:rsid w:val="00DC4F67"/>
    <w:rsid w:val="00DC5497"/>
    <w:rsid w:val="00DC63BF"/>
    <w:rsid w:val="00DC654E"/>
    <w:rsid w:val="00DC770C"/>
    <w:rsid w:val="00DD05A0"/>
    <w:rsid w:val="00DD0716"/>
    <w:rsid w:val="00DD1998"/>
    <w:rsid w:val="00DD2254"/>
    <w:rsid w:val="00DD2A11"/>
    <w:rsid w:val="00DD3E3A"/>
    <w:rsid w:val="00DD43BB"/>
    <w:rsid w:val="00DD493C"/>
    <w:rsid w:val="00DD4ACE"/>
    <w:rsid w:val="00DD5B01"/>
    <w:rsid w:val="00DD68E6"/>
    <w:rsid w:val="00DD72AC"/>
    <w:rsid w:val="00DD78BF"/>
    <w:rsid w:val="00DE0484"/>
    <w:rsid w:val="00DE0ECD"/>
    <w:rsid w:val="00DE1658"/>
    <w:rsid w:val="00DE1BE7"/>
    <w:rsid w:val="00DE1DD4"/>
    <w:rsid w:val="00DE3995"/>
    <w:rsid w:val="00DE40A4"/>
    <w:rsid w:val="00DE5743"/>
    <w:rsid w:val="00DE5EC6"/>
    <w:rsid w:val="00DE6634"/>
    <w:rsid w:val="00DE6A53"/>
    <w:rsid w:val="00DE6FA3"/>
    <w:rsid w:val="00DE799A"/>
    <w:rsid w:val="00DE7FD4"/>
    <w:rsid w:val="00DF033B"/>
    <w:rsid w:val="00DF04F8"/>
    <w:rsid w:val="00DF2084"/>
    <w:rsid w:val="00DF22FC"/>
    <w:rsid w:val="00DF33EB"/>
    <w:rsid w:val="00DF4719"/>
    <w:rsid w:val="00DF5107"/>
    <w:rsid w:val="00DF63EE"/>
    <w:rsid w:val="00DF7373"/>
    <w:rsid w:val="00E0177C"/>
    <w:rsid w:val="00E01F5D"/>
    <w:rsid w:val="00E02593"/>
    <w:rsid w:val="00E04E2F"/>
    <w:rsid w:val="00E074CD"/>
    <w:rsid w:val="00E10D2B"/>
    <w:rsid w:val="00E10EBB"/>
    <w:rsid w:val="00E111BE"/>
    <w:rsid w:val="00E11C7F"/>
    <w:rsid w:val="00E11EEA"/>
    <w:rsid w:val="00E123C4"/>
    <w:rsid w:val="00E13ABC"/>
    <w:rsid w:val="00E147F5"/>
    <w:rsid w:val="00E149FD"/>
    <w:rsid w:val="00E155C5"/>
    <w:rsid w:val="00E16966"/>
    <w:rsid w:val="00E1745E"/>
    <w:rsid w:val="00E20CFF"/>
    <w:rsid w:val="00E21C76"/>
    <w:rsid w:val="00E24A89"/>
    <w:rsid w:val="00E25EB8"/>
    <w:rsid w:val="00E26C87"/>
    <w:rsid w:val="00E30FAC"/>
    <w:rsid w:val="00E314E5"/>
    <w:rsid w:val="00E3178B"/>
    <w:rsid w:val="00E32068"/>
    <w:rsid w:val="00E3211E"/>
    <w:rsid w:val="00E34D16"/>
    <w:rsid w:val="00E357F5"/>
    <w:rsid w:val="00E35E0D"/>
    <w:rsid w:val="00E363E3"/>
    <w:rsid w:val="00E368D1"/>
    <w:rsid w:val="00E37FED"/>
    <w:rsid w:val="00E41D59"/>
    <w:rsid w:val="00E422CF"/>
    <w:rsid w:val="00E4266E"/>
    <w:rsid w:val="00E4539A"/>
    <w:rsid w:val="00E45610"/>
    <w:rsid w:val="00E46493"/>
    <w:rsid w:val="00E46AD2"/>
    <w:rsid w:val="00E476AF"/>
    <w:rsid w:val="00E51AC8"/>
    <w:rsid w:val="00E52DD6"/>
    <w:rsid w:val="00E536E6"/>
    <w:rsid w:val="00E53C94"/>
    <w:rsid w:val="00E54ACA"/>
    <w:rsid w:val="00E57C12"/>
    <w:rsid w:val="00E61447"/>
    <w:rsid w:val="00E62011"/>
    <w:rsid w:val="00E6231F"/>
    <w:rsid w:val="00E6272D"/>
    <w:rsid w:val="00E63573"/>
    <w:rsid w:val="00E6405E"/>
    <w:rsid w:val="00E67BD2"/>
    <w:rsid w:val="00E67FEC"/>
    <w:rsid w:val="00E7002B"/>
    <w:rsid w:val="00E70C3F"/>
    <w:rsid w:val="00E7125B"/>
    <w:rsid w:val="00E7559C"/>
    <w:rsid w:val="00E7568F"/>
    <w:rsid w:val="00E762DA"/>
    <w:rsid w:val="00E767F1"/>
    <w:rsid w:val="00E771F7"/>
    <w:rsid w:val="00E815A2"/>
    <w:rsid w:val="00E81E48"/>
    <w:rsid w:val="00E81FCA"/>
    <w:rsid w:val="00E824D9"/>
    <w:rsid w:val="00E830AB"/>
    <w:rsid w:val="00E8489C"/>
    <w:rsid w:val="00E84ADD"/>
    <w:rsid w:val="00E85A83"/>
    <w:rsid w:val="00E8630A"/>
    <w:rsid w:val="00E869DA"/>
    <w:rsid w:val="00E86E09"/>
    <w:rsid w:val="00E870A0"/>
    <w:rsid w:val="00E872A4"/>
    <w:rsid w:val="00E90267"/>
    <w:rsid w:val="00E90672"/>
    <w:rsid w:val="00E906C0"/>
    <w:rsid w:val="00E90C15"/>
    <w:rsid w:val="00E9154D"/>
    <w:rsid w:val="00E91E3B"/>
    <w:rsid w:val="00E926DD"/>
    <w:rsid w:val="00E92AD5"/>
    <w:rsid w:val="00E92C04"/>
    <w:rsid w:val="00E93EB3"/>
    <w:rsid w:val="00E941F7"/>
    <w:rsid w:val="00E95CB0"/>
    <w:rsid w:val="00E9614D"/>
    <w:rsid w:val="00E963C8"/>
    <w:rsid w:val="00E974A5"/>
    <w:rsid w:val="00EA0A79"/>
    <w:rsid w:val="00EA0CD0"/>
    <w:rsid w:val="00EA183B"/>
    <w:rsid w:val="00EA1989"/>
    <w:rsid w:val="00EA233A"/>
    <w:rsid w:val="00EA2646"/>
    <w:rsid w:val="00EA29BF"/>
    <w:rsid w:val="00EA40E8"/>
    <w:rsid w:val="00EA4A2C"/>
    <w:rsid w:val="00EA52D5"/>
    <w:rsid w:val="00EA7237"/>
    <w:rsid w:val="00EB0667"/>
    <w:rsid w:val="00EB08B7"/>
    <w:rsid w:val="00EB1523"/>
    <w:rsid w:val="00EB1C0E"/>
    <w:rsid w:val="00EB22A5"/>
    <w:rsid w:val="00EB2638"/>
    <w:rsid w:val="00EB32EF"/>
    <w:rsid w:val="00EB3C50"/>
    <w:rsid w:val="00EB6866"/>
    <w:rsid w:val="00EB68CE"/>
    <w:rsid w:val="00EC1D4D"/>
    <w:rsid w:val="00EC3646"/>
    <w:rsid w:val="00EC454C"/>
    <w:rsid w:val="00EC4BC2"/>
    <w:rsid w:val="00EC5E20"/>
    <w:rsid w:val="00EC5F70"/>
    <w:rsid w:val="00EC7485"/>
    <w:rsid w:val="00ED0A43"/>
    <w:rsid w:val="00ED1AA1"/>
    <w:rsid w:val="00ED2E8B"/>
    <w:rsid w:val="00ED3401"/>
    <w:rsid w:val="00ED3A8C"/>
    <w:rsid w:val="00ED3BD8"/>
    <w:rsid w:val="00ED48C8"/>
    <w:rsid w:val="00ED5986"/>
    <w:rsid w:val="00ED601C"/>
    <w:rsid w:val="00ED7023"/>
    <w:rsid w:val="00ED76A9"/>
    <w:rsid w:val="00ED7BD4"/>
    <w:rsid w:val="00EE003C"/>
    <w:rsid w:val="00EE0728"/>
    <w:rsid w:val="00EE2206"/>
    <w:rsid w:val="00EE5097"/>
    <w:rsid w:val="00EE572D"/>
    <w:rsid w:val="00EE72E0"/>
    <w:rsid w:val="00EE73FE"/>
    <w:rsid w:val="00EF0EBE"/>
    <w:rsid w:val="00EF1C9C"/>
    <w:rsid w:val="00EF4471"/>
    <w:rsid w:val="00EF5701"/>
    <w:rsid w:val="00EF5A11"/>
    <w:rsid w:val="00EF5BA2"/>
    <w:rsid w:val="00EF5C6F"/>
    <w:rsid w:val="00EF609C"/>
    <w:rsid w:val="00EF7CA2"/>
    <w:rsid w:val="00EF7F3B"/>
    <w:rsid w:val="00F00940"/>
    <w:rsid w:val="00F00971"/>
    <w:rsid w:val="00F0163D"/>
    <w:rsid w:val="00F01EAD"/>
    <w:rsid w:val="00F02A5F"/>
    <w:rsid w:val="00F02BED"/>
    <w:rsid w:val="00F03706"/>
    <w:rsid w:val="00F05011"/>
    <w:rsid w:val="00F05477"/>
    <w:rsid w:val="00F06585"/>
    <w:rsid w:val="00F06FE5"/>
    <w:rsid w:val="00F11766"/>
    <w:rsid w:val="00F11BE0"/>
    <w:rsid w:val="00F12C90"/>
    <w:rsid w:val="00F1376D"/>
    <w:rsid w:val="00F15E53"/>
    <w:rsid w:val="00F1740C"/>
    <w:rsid w:val="00F178D9"/>
    <w:rsid w:val="00F20E25"/>
    <w:rsid w:val="00F23205"/>
    <w:rsid w:val="00F236D1"/>
    <w:rsid w:val="00F23C20"/>
    <w:rsid w:val="00F246E8"/>
    <w:rsid w:val="00F24E0A"/>
    <w:rsid w:val="00F26DE3"/>
    <w:rsid w:val="00F27122"/>
    <w:rsid w:val="00F30644"/>
    <w:rsid w:val="00F30F4D"/>
    <w:rsid w:val="00F31774"/>
    <w:rsid w:val="00F31A30"/>
    <w:rsid w:val="00F33080"/>
    <w:rsid w:val="00F3359D"/>
    <w:rsid w:val="00F34962"/>
    <w:rsid w:val="00F3570A"/>
    <w:rsid w:val="00F36281"/>
    <w:rsid w:val="00F4119B"/>
    <w:rsid w:val="00F42EBA"/>
    <w:rsid w:val="00F42FB1"/>
    <w:rsid w:val="00F43339"/>
    <w:rsid w:val="00F43C55"/>
    <w:rsid w:val="00F44F67"/>
    <w:rsid w:val="00F451FD"/>
    <w:rsid w:val="00F46D15"/>
    <w:rsid w:val="00F47AC9"/>
    <w:rsid w:val="00F47D63"/>
    <w:rsid w:val="00F5047B"/>
    <w:rsid w:val="00F51F0C"/>
    <w:rsid w:val="00F52EF5"/>
    <w:rsid w:val="00F535AC"/>
    <w:rsid w:val="00F53BEF"/>
    <w:rsid w:val="00F53EC0"/>
    <w:rsid w:val="00F53F01"/>
    <w:rsid w:val="00F545BD"/>
    <w:rsid w:val="00F54718"/>
    <w:rsid w:val="00F54E85"/>
    <w:rsid w:val="00F54FA2"/>
    <w:rsid w:val="00F55FB8"/>
    <w:rsid w:val="00F6251E"/>
    <w:rsid w:val="00F6252A"/>
    <w:rsid w:val="00F628B3"/>
    <w:rsid w:val="00F63127"/>
    <w:rsid w:val="00F63495"/>
    <w:rsid w:val="00F63C78"/>
    <w:rsid w:val="00F6428D"/>
    <w:rsid w:val="00F64C2A"/>
    <w:rsid w:val="00F656D8"/>
    <w:rsid w:val="00F670B9"/>
    <w:rsid w:val="00F679BE"/>
    <w:rsid w:val="00F7030D"/>
    <w:rsid w:val="00F71001"/>
    <w:rsid w:val="00F711F4"/>
    <w:rsid w:val="00F72979"/>
    <w:rsid w:val="00F72E93"/>
    <w:rsid w:val="00F746AA"/>
    <w:rsid w:val="00F757B1"/>
    <w:rsid w:val="00F77780"/>
    <w:rsid w:val="00F77B8D"/>
    <w:rsid w:val="00F81258"/>
    <w:rsid w:val="00F8292B"/>
    <w:rsid w:val="00F832E2"/>
    <w:rsid w:val="00F86773"/>
    <w:rsid w:val="00F8690F"/>
    <w:rsid w:val="00F86C04"/>
    <w:rsid w:val="00F8756B"/>
    <w:rsid w:val="00F875FC"/>
    <w:rsid w:val="00F902CE"/>
    <w:rsid w:val="00F90579"/>
    <w:rsid w:val="00F90DD3"/>
    <w:rsid w:val="00F91F51"/>
    <w:rsid w:val="00F9257D"/>
    <w:rsid w:val="00F93336"/>
    <w:rsid w:val="00F933DF"/>
    <w:rsid w:val="00F9432B"/>
    <w:rsid w:val="00F95E75"/>
    <w:rsid w:val="00F96339"/>
    <w:rsid w:val="00F97054"/>
    <w:rsid w:val="00FA0448"/>
    <w:rsid w:val="00FA0C37"/>
    <w:rsid w:val="00FA243D"/>
    <w:rsid w:val="00FA3003"/>
    <w:rsid w:val="00FA3341"/>
    <w:rsid w:val="00FA443E"/>
    <w:rsid w:val="00FA45BD"/>
    <w:rsid w:val="00FA4DCC"/>
    <w:rsid w:val="00FA57BD"/>
    <w:rsid w:val="00FA5E61"/>
    <w:rsid w:val="00FA6297"/>
    <w:rsid w:val="00FA6B77"/>
    <w:rsid w:val="00FB1E76"/>
    <w:rsid w:val="00FB3600"/>
    <w:rsid w:val="00FB76EA"/>
    <w:rsid w:val="00FB7B52"/>
    <w:rsid w:val="00FB7DB6"/>
    <w:rsid w:val="00FC0405"/>
    <w:rsid w:val="00FC0569"/>
    <w:rsid w:val="00FC096B"/>
    <w:rsid w:val="00FC0A14"/>
    <w:rsid w:val="00FC206D"/>
    <w:rsid w:val="00FC355A"/>
    <w:rsid w:val="00FC3BC1"/>
    <w:rsid w:val="00FC4197"/>
    <w:rsid w:val="00FC5F23"/>
    <w:rsid w:val="00FC68C9"/>
    <w:rsid w:val="00FD1F0B"/>
    <w:rsid w:val="00FD272E"/>
    <w:rsid w:val="00FD2A3A"/>
    <w:rsid w:val="00FD2B5C"/>
    <w:rsid w:val="00FD54BA"/>
    <w:rsid w:val="00FD580F"/>
    <w:rsid w:val="00FD6109"/>
    <w:rsid w:val="00FE09B6"/>
    <w:rsid w:val="00FE1942"/>
    <w:rsid w:val="00FE1D22"/>
    <w:rsid w:val="00FE3539"/>
    <w:rsid w:val="00FE4A63"/>
    <w:rsid w:val="00FE6618"/>
    <w:rsid w:val="00FE74E1"/>
    <w:rsid w:val="00FF1A3A"/>
    <w:rsid w:val="00FF242D"/>
    <w:rsid w:val="00FF3786"/>
    <w:rsid w:val="00FF3D56"/>
    <w:rsid w:val="00FF6054"/>
    <w:rsid w:val="00FF61F9"/>
    <w:rsid w:val="00FF6478"/>
    <w:rsid w:val="00FF76A0"/>
    <w:rsid w:val="00FF77F4"/>
    <w:rsid w:val="00FF786B"/>
    <w:rsid w:val="01017684"/>
    <w:rsid w:val="01032012"/>
    <w:rsid w:val="01042CD0"/>
    <w:rsid w:val="010860CF"/>
    <w:rsid w:val="010A06C2"/>
    <w:rsid w:val="010A6538"/>
    <w:rsid w:val="010B2AC3"/>
    <w:rsid w:val="010C299E"/>
    <w:rsid w:val="010E3F17"/>
    <w:rsid w:val="01115B19"/>
    <w:rsid w:val="01161381"/>
    <w:rsid w:val="01195121"/>
    <w:rsid w:val="011F09C3"/>
    <w:rsid w:val="01205D5C"/>
    <w:rsid w:val="01207B0A"/>
    <w:rsid w:val="01233A9E"/>
    <w:rsid w:val="012375FA"/>
    <w:rsid w:val="01243C35"/>
    <w:rsid w:val="01253372"/>
    <w:rsid w:val="0127533C"/>
    <w:rsid w:val="012A2737"/>
    <w:rsid w:val="012D66CB"/>
    <w:rsid w:val="012E1A1B"/>
    <w:rsid w:val="012F2443"/>
    <w:rsid w:val="012F41F1"/>
    <w:rsid w:val="01303614"/>
    <w:rsid w:val="01341807"/>
    <w:rsid w:val="013435B5"/>
    <w:rsid w:val="013712F7"/>
    <w:rsid w:val="01390BCC"/>
    <w:rsid w:val="01392AFC"/>
    <w:rsid w:val="013A4168"/>
    <w:rsid w:val="013C06BC"/>
    <w:rsid w:val="013D4B60"/>
    <w:rsid w:val="01423F24"/>
    <w:rsid w:val="01431A4A"/>
    <w:rsid w:val="014337F8"/>
    <w:rsid w:val="01444A6E"/>
    <w:rsid w:val="01481161"/>
    <w:rsid w:val="01483505"/>
    <w:rsid w:val="014B08FF"/>
    <w:rsid w:val="014D28C9"/>
    <w:rsid w:val="014D325C"/>
    <w:rsid w:val="014F219D"/>
    <w:rsid w:val="014F6641"/>
    <w:rsid w:val="01526ABB"/>
    <w:rsid w:val="01536D2A"/>
    <w:rsid w:val="01543C57"/>
    <w:rsid w:val="015445C8"/>
    <w:rsid w:val="01557885"/>
    <w:rsid w:val="0159126E"/>
    <w:rsid w:val="015974C0"/>
    <w:rsid w:val="015E0632"/>
    <w:rsid w:val="015E4AD6"/>
    <w:rsid w:val="01610122"/>
    <w:rsid w:val="01626374"/>
    <w:rsid w:val="01633E9B"/>
    <w:rsid w:val="01635C49"/>
    <w:rsid w:val="0168325F"/>
    <w:rsid w:val="01687703"/>
    <w:rsid w:val="016B44FB"/>
    <w:rsid w:val="016C0FA1"/>
    <w:rsid w:val="016C71F3"/>
    <w:rsid w:val="016D4D19"/>
    <w:rsid w:val="016F0A91"/>
    <w:rsid w:val="016F283F"/>
    <w:rsid w:val="01710365"/>
    <w:rsid w:val="017117FD"/>
    <w:rsid w:val="01785B98"/>
    <w:rsid w:val="017916D0"/>
    <w:rsid w:val="0179331D"/>
    <w:rsid w:val="017B11E4"/>
    <w:rsid w:val="017D666E"/>
    <w:rsid w:val="017E0CD4"/>
    <w:rsid w:val="017E1630"/>
    <w:rsid w:val="01804A4C"/>
    <w:rsid w:val="01822782"/>
    <w:rsid w:val="0186750A"/>
    <w:rsid w:val="0187402D"/>
    <w:rsid w:val="01877B89"/>
    <w:rsid w:val="018856AF"/>
    <w:rsid w:val="018C1643"/>
    <w:rsid w:val="018C519F"/>
    <w:rsid w:val="018D0F17"/>
    <w:rsid w:val="018F2EE2"/>
    <w:rsid w:val="018F6A3E"/>
    <w:rsid w:val="01904D86"/>
    <w:rsid w:val="01910A08"/>
    <w:rsid w:val="019127B6"/>
    <w:rsid w:val="01934780"/>
    <w:rsid w:val="01967DCC"/>
    <w:rsid w:val="019B3634"/>
    <w:rsid w:val="019B53E2"/>
    <w:rsid w:val="019F4625"/>
    <w:rsid w:val="01A3073B"/>
    <w:rsid w:val="01A324E9"/>
    <w:rsid w:val="01A7022B"/>
    <w:rsid w:val="01AC3A93"/>
    <w:rsid w:val="01B464A4"/>
    <w:rsid w:val="01B666C0"/>
    <w:rsid w:val="01B96C47"/>
    <w:rsid w:val="01BB7833"/>
    <w:rsid w:val="01C25065"/>
    <w:rsid w:val="01C42B8B"/>
    <w:rsid w:val="01C7267B"/>
    <w:rsid w:val="01C761D7"/>
    <w:rsid w:val="01C869B3"/>
    <w:rsid w:val="01CA5CC8"/>
    <w:rsid w:val="01CC7CF9"/>
    <w:rsid w:val="01CE57B8"/>
    <w:rsid w:val="01D152A8"/>
    <w:rsid w:val="01D17056"/>
    <w:rsid w:val="01D26BCC"/>
    <w:rsid w:val="01D32DCE"/>
    <w:rsid w:val="01D37272"/>
    <w:rsid w:val="01D45911"/>
    <w:rsid w:val="01D547F9"/>
    <w:rsid w:val="01D60B10"/>
    <w:rsid w:val="01D65AC4"/>
    <w:rsid w:val="01D803E5"/>
    <w:rsid w:val="01DA23AF"/>
    <w:rsid w:val="01DB7ED5"/>
    <w:rsid w:val="01E054EB"/>
    <w:rsid w:val="01E303F1"/>
    <w:rsid w:val="01E46594"/>
    <w:rsid w:val="01E66FA5"/>
    <w:rsid w:val="01E824FA"/>
    <w:rsid w:val="01EE19B6"/>
    <w:rsid w:val="01EF572E"/>
    <w:rsid w:val="01F03BBA"/>
    <w:rsid w:val="01F1594A"/>
    <w:rsid w:val="01F40F97"/>
    <w:rsid w:val="01F62F61"/>
    <w:rsid w:val="01F66ABD"/>
    <w:rsid w:val="01F8031B"/>
    <w:rsid w:val="01F9035B"/>
    <w:rsid w:val="01FA65AD"/>
    <w:rsid w:val="01FC12AC"/>
    <w:rsid w:val="01FD42EF"/>
    <w:rsid w:val="01FD7E4B"/>
    <w:rsid w:val="01FE3B56"/>
    <w:rsid w:val="01FE504C"/>
    <w:rsid w:val="02003588"/>
    <w:rsid w:val="020142D5"/>
    <w:rsid w:val="02072A78"/>
    <w:rsid w:val="02084250"/>
    <w:rsid w:val="020967F0"/>
    <w:rsid w:val="020C62E0"/>
    <w:rsid w:val="020E02AA"/>
    <w:rsid w:val="020F6402"/>
    <w:rsid w:val="021030B2"/>
    <w:rsid w:val="02145195"/>
    <w:rsid w:val="0216715F"/>
    <w:rsid w:val="02186A33"/>
    <w:rsid w:val="021872CE"/>
    <w:rsid w:val="021A27AB"/>
    <w:rsid w:val="021C29C7"/>
    <w:rsid w:val="021D04ED"/>
    <w:rsid w:val="02217FDE"/>
    <w:rsid w:val="0224187C"/>
    <w:rsid w:val="02243890"/>
    <w:rsid w:val="022573A2"/>
    <w:rsid w:val="022C6982"/>
    <w:rsid w:val="022E26FA"/>
    <w:rsid w:val="02322A46"/>
    <w:rsid w:val="02337D11"/>
    <w:rsid w:val="02355837"/>
    <w:rsid w:val="02367A76"/>
    <w:rsid w:val="0237612B"/>
    <w:rsid w:val="02377801"/>
    <w:rsid w:val="02383131"/>
    <w:rsid w:val="023A2E4D"/>
    <w:rsid w:val="023C235A"/>
    <w:rsid w:val="023D0B8F"/>
    <w:rsid w:val="0240685E"/>
    <w:rsid w:val="02427F54"/>
    <w:rsid w:val="02443CCC"/>
    <w:rsid w:val="02454DC9"/>
    <w:rsid w:val="0247556A"/>
    <w:rsid w:val="024B6E08"/>
    <w:rsid w:val="024C492F"/>
    <w:rsid w:val="024E43D4"/>
    <w:rsid w:val="024E4B4B"/>
    <w:rsid w:val="024E68F9"/>
    <w:rsid w:val="02502671"/>
    <w:rsid w:val="02504B3F"/>
    <w:rsid w:val="02532161"/>
    <w:rsid w:val="02533F0F"/>
    <w:rsid w:val="02566477"/>
    <w:rsid w:val="0256755B"/>
    <w:rsid w:val="02571C51"/>
    <w:rsid w:val="02571F5C"/>
    <w:rsid w:val="025739FF"/>
    <w:rsid w:val="025A07C2"/>
    <w:rsid w:val="025A34EF"/>
    <w:rsid w:val="025B2DC4"/>
    <w:rsid w:val="025C7268"/>
    <w:rsid w:val="025D63D3"/>
    <w:rsid w:val="025D690F"/>
    <w:rsid w:val="025E05D3"/>
    <w:rsid w:val="025F0B06"/>
    <w:rsid w:val="025F4662"/>
    <w:rsid w:val="026223A4"/>
    <w:rsid w:val="02671768"/>
    <w:rsid w:val="026B0005"/>
    <w:rsid w:val="026B1259"/>
    <w:rsid w:val="026C35B6"/>
    <w:rsid w:val="026E00C7"/>
    <w:rsid w:val="026E54F6"/>
    <w:rsid w:val="026E67DA"/>
    <w:rsid w:val="026F5F9E"/>
    <w:rsid w:val="027427F8"/>
    <w:rsid w:val="02750329"/>
    <w:rsid w:val="027520D7"/>
    <w:rsid w:val="02781179"/>
    <w:rsid w:val="027A5940"/>
    <w:rsid w:val="027A76EE"/>
    <w:rsid w:val="027D0F8C"/>
    <w:rsid w:val="027D71DE"/>
    <w:rsid w:val="0281282A"/>
    <w:rsid w:val="02836F78"/>
    <w:rsid w:val="028642E4"/>
    <w:rsid w:val="0288005D"/>
    <w:rsid w:val="028916DF"/>
    <w:rsid w:val="028E3199"/>
    <w:rsid w:val="02906F11"/>
    <w:rsid w:val="0293255D"/>
    <w:rsid w:val="02985DC6"/>
    <w:rsid w:val="029C3B08"/>
    <w:rsid w:val="029D518A"/>
    <w:rsid w:val="029D5455"/>
    <w:rsid w:val="02A01AC6"/>
    <w:rsid w:val="02A14D09"/>
    <w:rsid w:val="02A227A1"/>
    <w:rsid w:val="02A22CA5"/>
    <w:rsid w:val="02A235F8"/>
    <w:rsid w:val="02A23BF1"/>
    <w:rsid w:val="02A36C44"/>
    <w:rsid w:val="02A429BD"/>
    <w:rsid w:val="02A46D06"/>
    <w:rsid w:val="02A93B2F"/>
    <w:rsid w:val="02A97FD3"/>
    <w:rsid w:val="02AB3D4B"/>
    <w:rsid w:val="02AB5AF9"/>
    <w:rsid w:val="02AE1145"/>
    <w:rsid w:val="02AE55E9"/>
    <w:rsid w:val="02AE78CA"/>
    <w:rsid w:val="02B052A9"/>
    <w:rsid w:val="02B20C36"/>
    <w:rsid w:val="02B2279A"/>
    <w:rsid w:val="02B349AE"/>
    <w:rsid w:val="02B40E52"/>
    <w:rsid w:val="02B56978"/>
    <w:rsid w:val="02B710F1"/>
    <w:rsid w:val="02BA21E0"/>
    <w:rsid w:val="02BA6BA7"/>
    <w:rsid w:val="02BC7D06"/>
    <w:rsid w:val="02BD3C23"/>
    <w:rsid w:val="02BF3353"/>
    <w:rsid w:val="02C170CB"/>
    <w:rsid w:val="02C24E60"/>
    <w:rsid w:val="02C32E43"/>
    <w:rsid w:val="02C40969"/>
    <w:rsid w:val="02C50B9B"/>
    <w:rsid w:val="02C50C10"/>
    <w:rsid w:val="02C646E1"/>
    <w:rsid w:val="02C82935"/>
    <w:rsid w:val="02C92423"/>
    <w:rsid w:val="02C95F7F"/>
    <w:rsid w:val="02CA0A21"/>
    <w:rsid w:val="02CA7302"/>
    <w:rsid w:val="02CB1CF7"/>
    <w:rsid w:val="02CC4B37"/>
    <w:rsid w:val="02CD3CC1"/>
    <w:rsid w:val="02CE3596"/>
    <w:rsid w:val="02CF141E"/>
    <w:rsid w:val="02CF7A3A"/>
    <w:rsid w:val="02D01661"/>
    <w:rsid w:val="02D06700"/>
    <w:rsid w:val="02D3157B"/>
    <w:rsid w:val="02D36DFE"/>
    <w:rsid w:val="02D45050"/>
    <w:rsid w:val="02D52B76"/>
    <w:rsid w:val="02D54924"/>
    <w:rsid w:val="02D71C81"/>
    <w:rsid w:val="02D768EE"/>
    <w:rsid w:val="02D908B8"/>
    <w:rsid w:val="02D90FB5"/>
    <w:rsid w:val="02DA018C"/>
    <w:rsid w:val="02DC0246"/>
    <w:rsid w:val="02DE7C7D"/>
    <w:rsid w:val="02DF39F5"/>
    <w:rsid w:val="02E42DB9"/>
    <w:rsid w:val="02E44900"/>
    <w:rsid w:val="02E51F3D"/>
    <w:rsid w:val="02E5725D"/>
    <w:rsid w:val="02E62FD5"/>
    <w:rsid w:val="02E66B31"/>
    <w:rsid w:val="02E81C3B"/>
    <w:rsid w:val="02E903CF"/>
    <w:rsid w:val="02EB05EB"/>
    <w:rsid w:val="02EB406C"/>
    <w:rsid w:val="02EC685C"/>
    <w:rsid w:val="02ED1C6E"/>
    <w:rsid w:val="02EF1E8A"/>
    <w:rsid w:val="02F05C02"/>
    <w:rsid w:val="02F403E5"/>
    <w:rsid w:val="02F4124E"/>
    <w:rsid w:val="02F53218"/>
    <w:rsid w:val="02F56D74"/>
    <w:rsid w:val="02F70D3E"/>
    <w:rsid w:val="02FA082F"/>
    <w:rsid w:val="02FC45A7"/>
    <w:rsid w:val="03031491"/>
    <w:rsid w:val="030376E3"/>
    <w:rsid w:val="03060F81"/>
    <w:rsid w:val="03086AA8"/>
    <w:rsid w:val="03092820"/>
    <w:rsid w:val="03093C85"/>
    <w:rsid w:val="030B2A3C"/>
    <w:rsid w:val="030B6598"/>
    <w:rsid w:val="030D0562"/>
    <w:rsid w:val="030D40BE"/>
    <w:rsid w:val="030E7406"/>
    <w:rsid w:val="030E7E36"/>
    <w:rsid w:val="03103BAE"/>
    <w:rsid w:val="03113F5C"/>
    <w:rsid w:val="03123DCA"/>
    <w:rsid w:val="031406D1"/>
    <w:rsid w:val="03166B78"/>
    <w:rsid w:val="031713E0"/>
    <w:rsid w:val="0317318F"/>
    <w:rsid w:val="03174F3D"/>
    <w:rsid w:val="031C051E"/>
    <w:rsid w:val="031C2553"/>
    <w:rsid w:val="031D402A"/>
    <w:rsid w:val="031E451D"/>
    <w:rsid w:val="03200295"/>
    <w:rsid w:val="032064E7"/>
    <w:rsid w:val="03215DBB"/>
    <w:rsid w:val="03217B69"/>
    <w:rsid w:val="03237D85"/>
    <w:rsid w:val="032558AB"/>
    <w:rsid w:val="03265180"/>
    <w:rsid w:val="032A1114"/>
    <w:rsid w:val="032A3D5D"/>
    <w:rsid w:val="032C298F"/>
    <w:rsid w:val="032D4760"/>
    <w:rsid w:val="032E3CD9"/>
    <w:rsid w:val="032F672A"/>
    <w:rsid w:val="03304250"/>
    <w:rsid w:val="03321D76"/>
    <w:rsid w:val="03323B24"/>
    <w:rsid w:val="03353615"/>
    <w:rsid w:val="033C49A3"/>
    <w:rsid w:val="033E071B"/>
    <w:rsid w:val="033E4BBF"/>
    <w:rsid w:val="033E696D"/>
    <w:rsid w:val="0341020B"/>
    <w:rsid w:val="03436045"/>
    <w:rsid w:val="034420A6"/>
    <w:rsid w:val="03483348"/>
    <w:rsid w:val="034B2E38"/>
    <w:rsid w:val="034C72DC"/>
    <w:rsid w:val="034D3112"/>
    <w:rsid w:val="034D32D6"/>
    <w:rsid w:val="034D4E02"/>
    <w:rsid w:val="03547F3F"/>
    <w:rsid w:val="03555A65"/>
    <w:rsid w:val="03561F09"/>
    <w:rsid w:val="03563B89"/>
    <w:rsid w:val="035724D2"/>
    <w:rsid w:val="03575C81"/>
    <w:rsid w:val="035A307B"/>
    <w:rsid w:val="035C5045"/>
    <w:rsid w:val="035E01C7"/>
    <w:rsid w:val="035E29B4"/>
    <w:rsid w:val="036068E4"/>
    <w:rsid w:val="03667C72"/>
    <w:rsid w:val="03692931"/>
    <w:rsid w:val="036D12B2"/>
    <w:rsid w:val="0371289F"/>
    <w:rsid w:val="03716D43"/>
    <w:rsid w:val="0374238F"/>
    <w:rsid w:val="0374413D"/>
    <w:rsid w:val="037759DB"/>
    <w:rsid w:val="037A0006"/>
    <w:rsid w:val="037B196F"/>
    <w:rsid w:val="037E320E"/>
    <w:rsid w:val="038002F5"/>
    <w:rsid w:val="0381685A"/>
    <w:rsid w:val="038460A9"/>
    <w:rsid w:val="0385459C"/>
    <w:rsid w:val="03883137"/>
    <w:rsid w:val="038861FA"/>
    <w:rsid w:val="038A7E04"/>
    <w:rsid w:val="038D51FF"/>
    <w:rsid w:val="038D715B"/>
    <w:rsid w:val="038F31BC"/>
    <w:rsid w:val="038F71C9"/>
    <w:rsid w:val="03921B3D"/>
    <w:rsid w:val="03936CB9"/>
    <w:rsid w:val="03942A31"/>
    <w:rsid w:val="03972DDE"/>
    <w:rsid w:val="039842CF"/>
    <w:rsid w:val="039C3694"/>
    <w:rsid w:val="03A26EFC"/>
    <w:rsid w:val="03A32346"/>
    <w:rsid w:val="03A32C74"/>
    <w:rsid w:val="03A34A22"/>
    <w:rsid w:val="03A367D0"/>
    <w:rsid w:val="03A52548"/>
    <w:rsid w:val="03A653A6"/>
    <w:rsid w:val="03A8554E"/>
    <w:rsid w:val="03A85C19"/>
    <w:rsid w:val="03A951F3"/>
    <w:rsid w:val="03AA1254"/>
    <w:rsid w:val="03AA4003"/>
    <w:rsid w:val="03AF1619"/>
    <w:rsid w:val="03B15391"/>
    <w:rsid w:val="03B24C65"/>
    <w:rsid w:val="03B46C2F"/>
    <w:rsid w:val="03B629A7"/>
    <w:rsid w:val="03B66504"/>
    <w:rsid w:val="03B7227C"/>
    <w:rsid w:val="03B91FD7"/>
    <w:rsid w:val="03B93000"/>
    <w:rsid w:val="03B95FF4"/>
    <w:rsid w:val="03BC7892"/>
    <w:rsid w:val="03BD5AE4"/>
    <w:rsid w:val="03C274DB"/>
    <w:rsid w:val="03C42CC6"/>
    <w:rsid w:val="03C50E3C"/>
    <w:rsid w:val="03C52BEB"/>
    <w:rsid w:val="03C74BB5"/>
    <w:rsid w:val="03C76963"/>
    <w:rsid w:val="03C84489"/>
    <w:rsid w:val="03CA1FAF"/>
    <w:rsid w:val="03CA6453"/>
    <w:rsid w:val="03CE5F43"/>
    <w:rsid w:val="03CF064F"/>
    <w:rsid w:val="03D1158F"/>
    <w:rsid w:val="03D1333D"/>
    <w:rsid w:val="03D25B79"/>
    <w:rsid w:val="03D270B5"/>
    <w:rsid w:val="03D42E2E"/>
    <w:rsid w:val="03D472D2"/>
    <w:rsid w:val="03D8291E"/>
    <w:rsid w:val="03D974F7"/>
    <w:rsid w:val="03DB240E"/>
    <w:rsid w:val="03DD6186"/>
    <w:rsid w:val="03E219EE"/>
    <w:rsid w:val="03E25383"/>
    <w:rsid w:val="03E2554B"/>
    <w:rsid w:val="03E47515"/>
    <w:rsid w:val="03E70DB3"/>
    <w:rsid w:val="03E72B61"/>
    <w:rsid w:val="03E80687"/>
    <w:rsid w:val="03E80F8F"/>
    <w:rsid w:val="03E94B2B"/>
    <w:rsid w:val="03EC0177"/>
    <w:rsid w:val="03EF7C67"/>
    <w:rsid w:val="03F1578E"/>
    <w:rsid w:val="03F4527E"/>
    <w:rsid w:val="03F4702C"/>
    <w:rsid w:val="03F52369"/>
    <w:rsid w:val="03F82FC0"/>
    <w:rsid w:val="03F84D6E"/>
    <w:rsid w:val="03FA6D38"/>
    <w:rsid w:val="03FB03BA"/>
    <w:rsid w:val="03FD2384"/>
    <w:rsid w:val="03FE7EAB"/>
    <w:rsid w:val="04003C23"/>
    <w:rsid w:val="040354C1"/>
    <w:rsid w:val="040E6340"/>
    <w:rsid w:val="0410030A"/>
    <w:rsid w:val="04117BDE"/>
    <w:rsid w:val="04131BA8"/>
    <w:rsid w:val="041871BE"/>
    <w:rsid w:val="041901C7"/>
    <w:rsid w:val="041A0288"/>
    <w:rsid w:val="041A2F36"/>
    <w:rsid w:val="041B1889"/>
    <w:rsid w:val="041F054D"/>
    <w:rsid w:val="04206073"/>
    <w:rsid w:val="042167B5"/>
    <w:rsid w:val="0422003D"/>
    <w:rsid w:val="04241430"/>
    <w:rsid w:val="04243DB5"/>
    <w:rsid w:val="04253689"/>
    <w:rsid w:val="04293179"/>
    <w:rsid w:val="04294F27"/>
    <w:rsid w:val="042B6695"/>
    <w:rsid w:val="042C3965"/>
    <w:rsid w:val="042E0790"/>
    <w:rsid w:val="042E253E"/>
    <w:rsid w:val="042F4508"/>
    <w:rsid w:val="0430275A"/>
    <w:rsid w:val="04310280"/>
    <w:rsid w:val="0431202E"/>
    <w:rsid w:val="043164D2"/>
    <w:rsid w:val="04333FF8"/>
    <w:rsid w:val="04363AE8"/>
    <w:rsid w:val="043833BC"/>
    <w:rsid w:val="043964FE"/>
    <w:rsid w:val="043A35D9"/>
    <w:rsid w:val="043A46E9"/>
    <w:rsid w:val="043D6C25"/>
    <w:rsid w:val="043F299D"/>
    <w:rsid w:val="044004C3"/>
    <w:rsid w:val="04402271"/>
    <w:rsid w:val="04413255"/>
    <w:rsid w:val="0442248D"/>
    <w:rsid w:val="04460E6B"/>
    <w:rsid w:val="04497378"/>
    <w:rsid w:val="044A30F0"/>
    <w:rsid w:val="044C330C"/>
    <w:rsid w:val="044C50BA"/>
    <w:rsid w:val="044C6E68"/>
    <w:rsid w:val="044F0706"/>
    <w:rsid w:val="04515343"/>
    <w:rsid w:val="04516D24"/>
    <w:rsid w:val="045301F6"/>
    <w:rsid w:val="04567CE7"/>
    <w:rsid w:val="04583A5F"/>
    <w:rsid w:val="045A3333"/>
    <w:rsid w:val="045D3E37"/>
    <w:rsid w:val="045D72C7"/>
    <w:rsid w:val="04610B65"/>
    <w:rsid w:val="046152AB"/>
    <w:rsid w:val="04616819"/>
    <w:rsid w:val="0462668B"/>
    <w:rsid w:val="0466662A"/>
    <w:rsid w:val="04671EF4"/>
    <w:rsid w:val="046B3792"/>
    <w:rsid w:val="046E3282"/>
    <w:rsid w:val="046E5030"/>
    <w:rsid w:val="04714B20"/>
    <w:rsid w:val="04724BCD"/>
    <w:rsid w:val="0472717F"/>
    <w:rsid w:val="04787C5D"/>
    <w:rsid w:val="047E69E4"/>
    <w:rsid w:val="04806B11"/>
    <w:rsid w:val="0482288A"/>
    <w:rsid w:val="04842AA6"/>
    <w:rsid w:val="04846602"/>
    <w:rsid w:val="0486237A"/>
    <w:rsid w:val="048644D3"/>
    <w:rsid w:val="04865C1B"/>
    <w:rsid w:val="04874344"/>
    <w:rsid w:val="04877EA0"/>
    <w:rsid w:val="04893C18"/>
    <w:rsid w:val="048C3708"/>
    <w:rsid w:val="048E7480"/>
    <w:rsid w:val="04903A62"/>
    <w:rsid w:val="04910807"/>
    <w:rsid w:val="04912B00"/>
    <w:rsid w:val="04926F71"/>
    <w:rsid w:val="0495080F"/>
    <w:rsid w:val="049525BD"/>
    <w:rsid w:val="04956A61"/>
    <w:rsid w:val="04974587"/>
    <w:rsid w:val="049928A9"/>
    <w:rsid w:val="049A551A"/>
    <w:rsid w:val="049A5E25"/>
    <w:rsid w:val="049A7BD3"/>
    <w:rsid w:val="049C1B9D"/>
    <w:rsid w:val="049D76C3"/>
    <w:rsid w:val="049F168E"/>
    <w:rsid w:val="049F343C"/>
    <w:rsid w:val="04A15406"/>
    <w:rsid w:val="04A22F2C"/>
    <w:rsid w:val="04A25D63"/>
    <w:rsid w:val="04A80FAE"/>
    <w:rsid w:val="04A930A7"/>
    <w:rsid w:val="04AA300D"/>
    <w:rsid w:val="04AB1DE0"/>
    <w:rsid w:val="04AD3DAA"/>
    <w:rsid w:val="04AD67C5"/>
    <w:rsid w:val="04AE18D1"/>
    <w:rsid w:val="04AE7B23"/>
    <w:rsid w:val="04B360C1"/>
    <w:rsid w:val="04B52C5F"/>
    <w:rsid w:val="04B5335C"/>
    <w:rsid w:val="04B74A42"/>
    <w:rsid w:val="04B8274F"/>
    <w:rsid w:val="04B83981"/>
    <w:rsid w:val="04B862AB"/>
    <w:rsid w:val="04BB4853"/>
    <w:rsid w:val="04BF763A"/>
    <w:rsid w:val="04C2712A"/>
    <w:rsid w:val="04C504D6"/>
    <w:rsid w:val="04C82992"/>
    <w:rsid w:val="04C85EC4"/>
    <w:rsid w:val="04C9670A"/>
    <w:rsid w:val="04CB4231"/>
    <w:rsid w:val="04CC1D57"/>
    <w:rsid w:val="04CD61FB"/>
    <w:rsid w:val="04CD6C68"/>
    <w:rsid w:val="04CE1F73"/>
    <w:rsid w:val="04CE5ACF"/>
    <w:rsid w:val="04D00CBB"/>
    <w:rsid w:val="04D035F5"/>
    <w:rsid w:val="04D07A99"/>
    <w:rsid w:val="04D46B3B"/>
    <w:rsid w:val="04D56E5D"/>
    <w:rsid w:val="04D70E27"/>
    <w:rsid w:val="04D74983"/>
    <w:rsid w:val="04DC3B8C"/>
    <w:rsid w:val="04DC4690"/>
    <w:rsid w:val="04DC643E"/>
    <w:rsid w:val="04DF5F2E"/>
    <w:rsid w:val="04E2157A"/>
    <w:rsid w:val="04E23328"/>
    <w:rsid w:val="04E377CC"/>
    <w:rsid w:val="04E43113"/>
    <w:rsid w:val="04E66BCB"/>
    <w:rsid w:val="04E71044"/>
    <w:rsid w:val="04E946B7"/>
    <w:rsid w:val="04EA0D61"/>
    <w:rsid w:val="04EA3753"/>
    <w:rsid w:val="04EA6DAD"/>
    <w:rsid w:val="04EB042F"/>
    <w:rsid w:val="04ED41A7"/>
    <w:rsid w:val="04F03492"/>
    <w:rsid w:val="04F05A45"/>
    <w:rsid w:val="04F14737"/>
    <w:rsid w:val="04F217BD"/>
    <w:rsid w:val="04F27A0F"/>
    <w:rsid w:val="04F30983"/>
    <w:rsid w:val="04F55751"/>
    <w:rsid w:val="04F94333"/>
    <w:rsid w:val="04FA68C4"/>
    <w:rsid w:val="04FD0162"/>
    <w:rsid w:val="05017C52"/>
    <w:rsid w:val="050634BB"/>
    <w:rsid w:val="050B0AD1"/>
    <w:rsid w:val="050B6D23"/>
    <w:rsid w:val="050D4849"/>
    <w:rsid w:val="051A51B8"/>
    <w:rsid w:val="051A60E2"/>
    <w:rsid w:val="051A6F66"/>
    <w:rsid w:val="051C4A8C"/>
    <w:rsid w:val="051E0804"/>
    <w:rsid w:val="051E25B2"/>
    <w:rsid w:val="051F632A"/>
    <w:rsid w:val="05241B93"/>
    <w:rsid w:val="0526590B"/>
    <w:rsid w:val="05266D56"/>
    <w:rsid w:val="052A53FB"/>
    <w:rsid w:val="053242B0"/>
    <w:rsid w:val="05340028"/>
    <w:rsid w:val="05376AE2"/>
    <w:rsid w:val="05377368"/>
    <w:rsid w:val="053973EC"/>
    <w:rsid w:val="053A13B6"/>
    <w:rsid w:val="053E2C54"/>
    <w:rsid w:val="053E2F29"/>
    <w:rsid w:val="053F69CD"/>
    <w:rsid w:val="05410997"/>
    <w:rsid w:val="0543026B"/>
    <w:rsid w:val="054364BD"/>
    <w:rsid w:val="0548177D"/>
    <w:rsid w:val="054A784B"/>
    <w:rsid w:val="054B35C3"/>
    <w:rsid w:val="054B711F"/>
    <w:rsid w:val="054D10EA"/>
    <w:rsid w:val="054D2E98"/>
    <w:rsid w:val="054E09BE"/>
    <w:rsid w:val="05500BDA"/>
    <w:rsid w:val="055204AE"/>
    <w:rsid w:val="05526700"/>
    <w:rsid w:val="05573D16"/>
    <w:rsid w:val="0558047E"/>
    <w:rsid w:val="0559183C"/>
    <w:rsid w:val="05597A8E"/>
    <w:rsid w:val="055A3B91"/>
    <w:rsid w:val="055C132D"/>
    <w:rsid w:val="055C3A53"/>
    <w:rsid w:val="055C757F"/>
    <w:rsid w:val="055E32F7"/>
    <w:rsid w:val="05634469"/>
    <w:rsid w:val="05681A7F"/>
    <w:rsid w:val="0569753F"/>
    <w:rsid w:val="056A1F45"/>
    <w:rsid w:val="056A57F8"/>
    <w:rsid w:val="056B1570"/>
    <w:rsid w:val="056B6E2D"/>
    <w:rsid w:val="056D178C"/>
    <w:rsid w:val="056D353A"/>
    <w:rsid w:val="056D52E8"/>
    <w:rsid w:val="056F1060"/>
    <w:rsid w:val="056F72B2"/>
    <w:rsid w:val="05706B86"/>
    <w:rsid w:val="057228FE"/>
    <w:rsid w:val="05731549"/>
    <w:rsid w:val="0575419C"/>
    <w:rsid w:val="057743B8"/>
    <w:rsid w:val="05776166"/>
    <w:rsid w:val="057A17B3"/>
    <w:rsid w:val="057B7A05"/>
    <w:rsid w:val="05812B41"/>
    <w:rsid w:val="05832D5D"/>
    <w:rsid w:val="058368B9"/>
    <w:rsid w:val="058979DF"/>
    <w:rsid w:val="058B39C0"/>
    <w:rsid w:val="058D598A"/>
    <w:rsid w:val="058F525E"/>
    <w:rsid w:val="05922FA0"/>
    <w:rsid w:val="05953E92"/>
    <w:rsid w:val="0595565C"/>
    <w:rsid w:val="05962A91"/>
    <w:rsid w:val="05972365"/>
    <w:rsid w:val="05976809"/>
    <w:rsid w:val="059A3C03"/>
    <w:rsid w:val="059A49D0"/>
    <w:rsid w:val="059B00A7"/>
    <w:rsid w:val="059B1E55"/>
    <w:rsid w:val="059C5BCD"/>
    <w:rsid w:val="059C797B"/>
    <w:rsid w:val="05A056BD"/>
    <w:rsid w:val="05A351AD"/>
    <w:rsid w:val="05A37394"/>
    <w:rsid w:val="05A56137"/>
    <w:rsid w:val="05A607FA"/>
    <w:rsid w:val="05A625A8"/>
    <w:rsid w:val="05A821ED"/>
    <w:rsid w:val="05A84572"/>
    <w:rsid w:val="05A86320"/>
    <w:rsid w:val="05AA653C"/>
    <w:rsid w:val="05AB7BBE"/>
    <w:rsid w:val="05AD1B88"/>
    <w:rsid w:val="05AD2488"/>
    <w:rsid w:val="05B3407D"/>
    <w:rsid w:val="05B44CC5"/>
    <w:rsid w:val="05B6336E"/>
    <w:rsid w:val="05BB6053"/>
    <w:rsid w:val="05BE3D95"/>
    <w:rsid w:val="05C23886"/>
    <w:rsid w:val="05C25634"/>
    <w:rsid w:val="05C313AC"/>
    <w:rsid w:val="05C56ED2"/>
    <w:rsid w:val="05C70E9C"/>
    <w:rsid w:val="05C72C4A"/>
    <w:rsid w:val="05C84C14"/>
    <w:rsid w:val="05CA273A"/>
    <w:rsid w:val="05CD3EB3"/>
    <w:rsid w:val="05CE7F14"/>
    <w:rsid w:val="05D47115"/>
    <w:rsid w:val="05D53AD5"/>
    <w:rsid w:val="05D67331"/>
    <w:rsid w:val="05D709B3"/>
    <w:rsid w:val="05D90BCF"/>
    <w:rsid w:val="05DD246D"/>
    <w:rsid w:val="05DE1D42"/>
    <w:rsid w:val="05DE61E6"/>
    <w:rsid w:val="05E03D0C"/>
    <w:rsid w:val="05E27A84"/>
    <w:rsid w:val="05E355AA"/>
    <w:rsid w:val="05E4213A"/>
    <w:rsid w:val="05E57574"/>
    <w:rsid w:val="05E7509A"/>
    <w:rsid w:val="05E7762B"/>
    <w:rsid w:val="05E86EBE"/>
    <w:rsid w:val="05E97064"/>
    <w:rsid w:val="05EA4B8A"/>
    <w:rsid w:val="05EA6938"/>
    <w:rsid w:val="05EB4FCC"/>
    <w:rsid w:val="05EC445F"/>
    <w:rsid w:val="05ED6429"/>
    <w:rsid w:val="05EE467B"/>
    <w:rsid w:val="05F11A75"/>
    <w:rsid w:val="05F15DFC"/>
    <w:rsid w:val="05F23A3F"/>
    <w:rsid w:val="05F72E03"/>
    <w:rsid w:val="05F902FF"/>
    <w:rsid w:val="05F94DCD"/>
    <w:rsid w:val="05FD496D"/>
    <w:rsid w:val="05FD666C"/>
    <w:rsid w:val="06020126"/>
    <w:rsid w:val="06023C82"/>
    <w:rsid w:val="06035C4C"/>
    <w:rsid w:val="060519C4"/>
    <w:rsid w:val="0607573C"/>
    <w:rsid w:val="060774EA"/>
    <w:rsid w:val="060807B1"/>
    <w:rsid w:val="060914B4"/>
    <w:rsid w:val="060929C5"/>
    <w:rsid w:val="060A6FDB"/>
    <w:rsid w:val="060D7A9D"/>
    <w:rsid w:val="060F2843"/>
    <w:rsid w:val="06113EC5"/>
    <w:rsid w:val="061340E1"/>
    <w:rsid w:val="06136DB7"/>
    <w:rsid w:val="06163BD1"/>
    <w:rsid w:val="061821C8"/>
    <w:rsid w:val="06191E33"/>
    <w:rsid w:val="061E0B8A"/>
    <w:rsid w:val="061E4834"/>
    <w:rsid w:val="061E65E2"/>
    <w:rsid w:val="06233BF8"/>
    <w:rsid w:val="06250C9C"/>
    <w:rsid w:val="06253E14"/>
    <w:rsid w:val="0627193B"/>
    <w:rsid w:val="06293905"/>
    <w:rsid w:val="062A142B"/>
    <w:rsid w:val="062C0CFF"/>
    <w:rsid w:val="062E4A77"/>
    <w:rsid w:val="063066C1"/>
    <w:rsid w:val="063302DF"/>
    <w:rsid w:val="06336531"/>
    <w:rsid w:val="063522A9"/>
    <w:rsid w:val="06384302"/>
    <w:rsid w:val="063876A4"/>
    <w:rsid w:val="063B7194"/>
    <w:rsid w:val="063F6C84"/>
    <w:rsid w:val="06400C4E"/>
    <w:rsid w:val="064047AA"/>
    <w:rsid w:val="064417AA"/>
    <w:rsid w:val="06446CDF"/>
    <w:rsid w:val="06450013"/>
    <w:rsid w:val="06473D8B"/>
    <w:rsid w:val="0648365F"/>
    <w:rsid w:val="064A387B"/>
    <w:rsid w:val="064A5629"/>
    <w:rsid w:val="064A73D7"/>
    <w:rsid w:val="064C75F3"/>
    <w:rsid w:val="064E336B"/>
    <w:rsid w:val="064E6EC7"/>
    <w:rsid w:val="064F2C3F"/>
    <w:rsid w:val="06502589"/>
    <w:rsid w:val="065546FA"/>
    <w:rsid w:val="06562220"/>
    <w:rsid w:val="065663FB"/>
    <w:rsid w:val="0659586C"/>
    <w:rsid w:val="065A1D10"/>
    <w:rsid w:val="065A3ABE"/>
    <w:rsid w:val="065B15E4"/>
    <w:rsid w:val="065B5A88"/>
    <w:rsid w:val="065D535C"/>
    <w:rsid w:val="065D710A"/>
    <w:rsid w:val="065E2E82"/>
    <w:rsid w:val="065F10D4"/>
    <w:rsid w:val="06604C4F"/>
    <w:rsid w:val="0661499E"/>
    <w:rsid w:val="0662434B"/>
    <w:rsid w:val="0665331F"/>
    <w:rsid w:val="06695AAF"/>
    <w:rsid w:val="066C559F"/>
    <w:rsid w:val="066C61B1"/>
    <w:rsid w:val="066E7569"/>
    <w:rsid w:val="06700194"/>
    <w:rsid w:val="067032E2"/>
    <w:rsid w:val="06744454"/>
    <w:rsid w:val="067508F8"/>
    <w:rsid w:val="067A4160"/>
    <w:rsid w:val="067D155B"/>
    <w:rsid w:val="067F52D3"/>
    <w:rsid w:val="06802AF8"/>
    <w:rsid w:val="06826B71"/>
    <w:rsid w:val="068428E9"/>
    <w:rsid w:val="068648B3"/>
    <w:rsid w:val="0686696A"/>
    <w:rsid w:val="0687062B"/>
    <w:rsid w:val="068723D9"/>
    <w:rsid w:val="068766B9"/>
    <w:rsid w:val="06897EFF"/>
    <w:rsid w:val="068A3C77"/>
    <w:rsid w:val="068B011B"/>
    <w:rsid w:val="068D4F99"/>
    <w:rsid w:val="068E5516"/>
    <w:rsid w:val="069468A4"/>
    <w:rsid w:val="06954AF6"/>
    <w:rsid w:val="06976AC0"/>
    <w:rsid w:val="069A0A43"/>
    <w:rsid w:val="069A210C"/>
    <w:rsid w:val="069A751C"/>
    <w:rsid w:val="069B5E85"/>
    <w:rsid w:val="069B6EEA"/>
    <w:rsid w:val="069B7C33"/>
    <w:rsid w:val="069D39AB"/>
    <w:rsid w:val="069D7E4F"/>
    <w:rsid w:val="06A27213"/>
    <w:rsid w:val="06A44D39"/>
    <w:rsid w:val="06A72A7B"/>
    <w:rsid w:val="06A905A2"/>
    <w:rsid w:val="06AD62E4"/>
    <w:rsid w:val="06B036DE"/>
    <w:rsid w:val="06B225CD"/>
    <w:rsid w:val="06B24A53"/>
    <w:rsid w:val="06B46E17"/>
    <w:rsid w:val="06B502A7"/>
    <w:rsid w:val="06B50CF4"/>
    <w:rsid w:val="06B55198"/>
    <w:rsid w:val="06B61737"/>
    <w:rsid w:val="06BA630B"/>
    <w:rsid w:val="06BB2083"/>
    <w:rsid w:val="06BC6527"/>
    <w:rsid w:val="06BD229F"/>
    <w:rsid w:val="06C13B3D"/>
    <w:rsid w:val="06C21663"/>
    <w:rsid w:val="06C3378D"/>
    <w:rsid w:val="06C45BA7"/>
    <w:rsid w:val="06C62F02"/>
    <w:rsid w:val="06C673A5"/>
    <w:rsid w:val="06C76C7A"/>
    <w:rsid w:val="06CB0518"/>
    <w:rsid w:val="06CB3C0E"/>
    <w:rsid w:val="06CB49BC"/>
    <w:rsid w:val="06CB4DDC"/>
    <w:rsid w:val="06CD79BD"/>
    <w:rsid w:val="06CE1DB6"/>
    <w:rsid w:val="06CF67EC"/>
    <w:rsid w:val="06D25D4A"/>
    <w:rsid w:val="06D27AF8"/>
    <w:rsid w:val="06D33870"/>
    <w:rsid w:val="06D505D2"/>
    <w:rsid w:val="06D53145"/>
    <w:rsid w:val="06D575E9"/>
    <w:rsid w:val="06D73361"/>
    <w:rsid w:val="06D870D9"/>
    <w:rsid w:val="06DB4B92"/>
    <w:rsid w:val="06DC3458"/>
    <w:rsid w:val="06E17D3B"/>
    <w:rsid w:val="06E17E21"/>
    <w:rsid w:val="06E21E94"/>
    <w:rsid w:val="06E24753"/>
    <w:rsid w:val="06E31BE3"/>
    <w:rsid w:val="06E31D05"/>
    <w:rsid w:val="06E432D0"/>
    <w:rsid w:val="06E45A7E"/>
    <w:rsid w:val="06E96BF0"/>
    <w:rsid w:val="06EB4A0C"/>
    <w:rsid w:val="06EB6E0C"/>
    <w:rsid w:val="06F15AA5"/>
    <w:rsid w:val="06F2019A"/>
    <w:rsid w:val="06F35CC1"/>
    <w:rsid w:val="06F37A6F"/>
    <w:rsid w:val="06F57D73"/>
    <w:rsid w:val="06F7130D"/>
    <w:rsid w:val="06F85085"/>
    <w:rsid w:val="06FF01C2"/>
    <w:rsid w:val="06FF6413"/>
    <w:rsid w:val="07024687"/>
    <w:rsid w:val="07027CB2"/>
    <w:rsid w:val="07034156"/>
    <w:rsid w:val="07040B8F"/>
    <w:rsid w:val="07061550"/>
    <w:rsid w:val="070677A2"/>
    <w:rsid w:val="070752C8"/>
    <w:rsid w:val="07091DCE"/>
    <w:rsid w:val="070B125C"/>
    <w:rsid w:val="070B300A"/>
    <w:rsid w:val="070E313E"/>
    <w:rsid w:val="070E48A8"/>
    <w:rsid w:val="07106873"/>
    <w:rsid w:val="07133C6D"/>
    <w:rsid w:val="07154D23"/>
    <w:rsid w:val="0717375D"/>
    <w:rsid w:val="071933F3"/>
    <w:rsid w:val="071A149F"/>
    <w:rsid w:val="071A324D"/>
    <w:rsid w:val="071C5217"/>
    <w:rsid w:val="071D4AEC"/>
    <w:rsid w:val="071E100A"/>
    <w:rsid w:val="071F0864"/>
    <w:rsid w:val="07222102"/>
    <w:rsid w:val="07224756"/>
    <w:rsid w:val="07230354"/>
    <w:rsid w:val="072365A6"/>
    <w:rsid w:val="07243F59"/>
    <w:rsid w:val="072440CC"/>
    <w:rsid w:val="07261BF2"/>
    <w:rsid w:val="072678E3"/>
    <w:rsid w:val="07287718"/>
    <w:rsid w:val="07293490"/>
    <w:rsid w:val="07295DA1"/>
    <w:rsid w:val="072A7934"/>
    <w:rsid w:val="072B1256"/>
    <w:rsid w:val="072D4D2F"/>
    <w:rsid w:val="073065CD"/>
    <w:rsid w:val="07336117"/>
    <w:rsid w:val="07341AD0"/>
    <w:rsid w:val="0736405C"/>
    <w:rsid w:val="07372051"/>
    <w:rsid w:val="073836D3"/>
    <w:rsid w:val="07391925"/>
    <w:rsid w:val="073A6C93"/>
    <w:rsid w:val="073A744C"/>
    <w:rsid w:val="073E6F3C"/>
    <w:rsid w:val="07416A2C"/>
    <w:rsid w:val="07487DBA"/>
    <w:rsid w:val="07497901"/>
    <w:rsid w:val="074A1D85"/>
    <w:rsid w:val="074A3B33"/>
    <w:rsid w:val="074B78AB"/>
    <w:rsid w:val="074E2EF7"/>
    <w:rsid w:val="074E3773"/>
    <w:rsid w:val="07500A1D"/>
    <w:rsid w:val="07520C39"/>
    <w:rsid w:val="07563920"/>
    <w:rsid w:val="0757624F"/>
    <w:rsid w:val="07583E9D"/>
    <w:rsid w:val="075873F6"/>
    <w:rsid w:val="075B5D40"/>
    <w:rsid w:val="075C0948"/>
    <w:rsid w:val="075E75DE"/>
    <w:rsid w:val="075F6EB2"/>
    <w:rsid w:val="07605B88"/>
    <w:rsid w:val="07610E7C"/>
    <w:rsid w:val="076252BA"/>
    <w:rsid w:val="0765096C"/>
    <w:rsid w:val="076646E5"/>
    <w:rsid w:val="07677572"/>
    <w:rsid w:val="076D15CF"/>
    <w:rsid w:val="076D18CD"/>
    <w:rsid w:val="077216DE"/>
    <w:rsid w:val="07723089"/>
    <w:rsid w:val="07745D41"/>
    <w:rsid w:val="077961C6"/>
    <w:rsid w:val="07816602"/>
    <w:rsid w:val="07843E94"/>
    <w:rsid w:val="07854B6B"/>
    <w:rsid w:val="078660CC"/>
    <w:rsid w:val="0788465B"/>
    <w:rsid w:val="07890AC6"/>
    <w:rsid w:val="078A03D3"/>
    <w:rsid w:val="078B7CA7"/>
    <w:rsid w:val="078D1C71"/>
    <w:rsid w:val="078F2096"/>
    <w:rsid w:val="078F7797"/>
    <w:rsid w:val="079052BE"/>
    <w:rsid w:val="079160F7"/>
    <w:rsid w:val="079166EF"/>
    <w:rsid w:val="079254DA"/>
    <w:rsid w:val="079335E8"/>
    <w:rsid w:val="0798744C"/>
    <w:rsid w:val="079C1EB4"/>
    <w:rsid w:val="079C320A"/>
    <w:rsid w:val="079E79DA"/>
    <w:rsid w:val="079F3753"/>
    <w:rsid w:val="07A0147A"/>
    <w:rsid w:val="07A07BF6"/>
    <w:rsid w:val="07A2040D"/>
    <w:rsid w:val="07A62D33"/>
    <w:rsid w:val="07A80520"/>
    <w:rsid w:val="07A82607"/>
    <w:rsid w:val="07AB4BFC"/>
    <w:rsid w:val="07AD40C1"/>
    <w:rsid w:val="07AE39F0"/>
    <w:rsid w:val="07AF3996"/>
    <w:rsid w:val="07B23486"/>
    <w:rsid w:val="07B44062"/>
    <w:rsid w:val="07B70A9C"/>
    <w:rsid w:val="07BC10B3"/>
    <w:rsid w:val="07BC2556"/>
    <w:rsid w:val="07BE62CF"/>
    <w:rsid w:val="07C05BA3"/>
    <w:rsid w:val="07C1191B"/>
    <w:rsid w:val="07C5765D"/>
    <w:rsid w:val="07C66F31"/>
    <w:rsid w:val="07C733D5"/>
    <w:rsid w:val="07C80EFB"/>
    <w:rsid w:val="07C94E18"/>
    <w:rsid w:val="07CA6A21"/>
    <w:rsid w:val="07CC22C3"/>
    <w:rsid w:val="07CD02C0"/>
    <w:rsid w:val="07CF4038"/>
    <w:rsid w:val="07CF440A"/>
    <w:rsid w:val="07D0390C"/>
    <w:rsid w:val="07D23B28"/>
    <w:rsid w:val="07D26499"/>
    <w:rsid w:val="07D4164E"/>
    <w:rsid w:val="07D478A0"/>
    <w:rsid w:val="07D50BE2"/>
    <w:rsid w:val="07D57174"/>
    <w:rsid w:val="07D7113E"/>
    <w:rsid w:val="07D77390"/>
    <w:rsid w:val="07DB2536"/>
    <w:rsid w:val="07DB26EC"/>
    <w:rsid w:val="07DE071F"/>
    <w:rsid w:val="07E06245"/>
    <w:rsid w:val="07E31891"/>
    <w:rsid w:val="07E76EF1"/>
    <w:rsid w:val="07E8334B"/>
    <w:rsid w:val="07E850FA"/>
    <w:rsid w:val="07E92CA1"/>
    <w:rsid w:val="07EA2C20"/>
    <w:rsid w:val="07EA78F4"/>
    <w:rsid w:val="07EF46DA"/>
    <w:rsid w:val="07F10452"/>
    <w:rsid w:val="07F13FAE"/>
    <w:rsid w:val="07F17513"/>
    <w:rsid w:val="07F27D26"/>
    <w:rsid w:val="07F341CA"/>
    <w:rsid w:val="07F65A68"/>
    <w:rsid w:val="07F86735"/>
    <w:rsid w:val="07F92E63"/>
    <w:rsid w:val="07F933E3"/>
    <w:rsid w:val="07FB4E2D"/>
    <w:rsid w:val="07FB6BDB"/>
    <w:rsid w:val="07FC2953"/>
    <w:rsid w:val="07FF76F8"/>
    <w:rsid w:val="08057A5A"/>
    <w:rsid w:val="080A5070"/>
    <w:rsid w:val="080A561C"/>
    <w:rsid w:val="080C0DE8"/>
    <w:rsid w:val="081128A2"/>
    <w:rsid w:val="08122176"/>
    <w:rsid w:val="081303C8"/>
    <w:rsid w:val="08145EEF"/>
    <w:rsid w:val="08147C9D"/>
    <w:rsid w:val="08155C5D"/>
    <w:rsid w:val="08163A15"/>
    <w:rsid w:val="081859DF"/>
    <w:rsid w:val="08193505"/>
    <w:rsid w:val="081C4DA3"/>
    <w:rsid w:val="081E6D6D"/>
    <w:rsid w:val="08204893"/>
    <w:rsid w:val="0822060B"/>
    <w:rsid w:val="08236132"/>
    <w:rsid w:val="08236FF3"/>
    <w:rsid w:val="08275C22"/>
    <w:rsid w:val="0828199A"/>
    <w:rsid w:val="082A3964"/>
    <w:rsid w:val="082B4195"/>
    <w:rsid w:val="082D0D5E"/>
    <w:rsid w:val="082D632F"/>
    <w:rsid w:val="08307A2C"/>
    <w:rsid w:val="0831084F"/>
    <w:rsid w:val="08314CF2"/>
    <w:rsid w:val="08326375"/>
    <w:rsid w:val="08337AC1"/>
    <w:rsid w:val="083420ED"/>
    <w:rsid w:val="08346591"/>
    <w:rsid w:val="08362309"/>
    <w:rsid w:val="083640B7"/>
    <w:rsid w:val="08393BA7"/>
    <w:rsid w:val="08394F94"/>
    <w:rsid w:val="08397703"/>
    <w:rsid w:val="083B347B"/>
    <w:rsid w:val="083D48CB"/>
    <w:rsid w:val="083E4D1A"/>
    <w:rsid w:val="08406CE4"/>
    <w:rsid w:val="08413E1A"/>
    <w:rsid w:val="08422A5C"/>
    <w:rsid w:val="084367D4"/>
    <w:rsid w:val="08442840"/>
    <w:rsid w:val="08444D3B"/>
    <w:rsid w:val="08471E20"/>
    <w:rsid w:val="08485B98"/>
    <w:rsid w:val="08493DEA"/>
    <w:rsid w:val="084A7B62"/>
    <w:rsid w:val="084C7436"/>
    <w:rsid w:val="084E1932"/>
    <w:rsid w:val="08510EF1"/>
    <w:rsid w:val="085A5FF7"/>
    <w:rsid w:val="085B3B1D"/>
    <w:rsid w:val="085D1644"/>
    <w:rsid w:val="085D7896"/>
    <w:rsid w:val="085E716A"/>
    <w:rsid w:val="085F360E"/>
    <w:rsid w:val="08602EE2"/>
    <w:rsid w:val="0860742D"/>
    <w:rsid w:val="086230FE"/>
    <w:rsid w:val="08624EAC"/>
    <w:rsid w:val="08626C5A"/>
    <w:rsid w:val="08687FE8"/>
    <w:rsid w:val="086C1887"/>
    <w:rsid w:val="086E1AA3"/>
    <w:rsid w:val="086E55FF"/>
    <w:rsid w:val="0870581B"/>
    <w:rsid w:val="08707F84"/>
    <w:rsid w:val="08713341"/>
    <w:rsid w:val="08716E9D"/>
    <w:rsid w:val="08723195"/>
    <w:rsid w:val="08730E67"/>
    <w:rsid w:val="08745B19"/>
    <w:rsid w:val="08752E31"/>
    <w:rsid w:val="0878105A"/>
    <w:rsid w:val="087A0447"/>
    <w:rsid w:val="087B4212"/>
    <w:rsid w:val="087C0E6B"/>
    <w:rsid w:val="087F635C"/>
    <w:rsid w:val="088017D6"/>
    <w:rsid w:val="08844E22"/>
    <w:rsid w:val="08874912"/>
    <w:rsid w:val="08892439"/>
    <w:rsid w:val="088968DD"/>
    <w:rsid w:val="0891753F"/>
    <w:rsid w:val="08931509"/>
    <w:rsid w:val="08941CC3"/>
    <w:rsid w:val="08964B56"/>
    <w:rsid w:val="08966904"/>
    <w:rsid w:val="089963F4"/>
    <w:rsid w:val="089A2898"/>
    <w:rsid w:val="089C2799"/>
    <w:rsid w:val="089D4136"/>
    <w:rsid w:val="089D7C92"/>
    <w:rsid w:val="089F7EAE"/>
    <w:rsid w:val="08A035CA"/>
    <w:rsid w:val="08A05695"/>
    <w:rsid w:val="08A13C26"/>
    <w:rsid w:val="08A234FA"/>
    <w:rsid w:val="08A52C48"/>
    <w:rsid w:val="08A52FEB"/>
    <w:rsid w:val="08A54D99"/>
    <w:rsid w:val="08A6123D"/>
    <w:rsid w:val="08A640D8"/>
    <w:rsid w:val="08A76D63"/>
    <w:rsid w:val="08A8306C"/>
    <w:rsid w:val="08A96637"/>
    <w:rsid w:val="08B03E69"/>
    <w:rsid w:val="08B13240"/>
    <w:rsid w:val="08B1373D"/>
    <w:rsid w:val="08B17BE1"/>
    <w:rsid w:val="08B374B6"/>
    <w:rsid w:val="08B651F8"/>
    <w:rsid w:val="08B82D1E"/>
    <w:rsid w:val="08B84ACC"/>
    <w:rsid w:val="08BD6586"/>
    <w:rsid w:val="08C15EE6"/>
    <w:rsid w:val="08C23B9D"/>
    <w:rsid w:val="08C42DA6"/>
    <w:rsid w:val="08C461D1"/>
    <w:rsid w:val="08C6543B"/>
    <w:rsid w:val="08C77405"/>
    <w:rsid w:val="08C96CD9"/>
    <w:rsid w:val="08CA2761"/>
    <w:rsid w:val="08CE2541"/>
    <w:rsid w:val="08D062B9"/>
    <w:rsid w:val="08D12032"/>
    <w:rsid w:val="08D35DAA"/>
    <w:rsid w:val="08D71D8F"/>
    <w:rsid w:val="08D81C11"/>
    <w:rsid w:val="08D86F1C"/>
    <w:rsid w:val="08DB07BA"/>
    <w:rsid w:val="08DC4C5E"/>
    <w:rsid w:val="08DD09D6"/>
    <w:rsid w:val="08DD4532"/>
    <w:rsid w:val="08DF591E"/>
    <w:rsid w:val="08DF682A"/>
    <w:rsid w:val="08E43B13"/>
    <w:rsid w:val="08E51639"/>
    <w:rsid w:val="08E65ADD"/>
    <w:rsid w:val="08E729FB"/>
    <w:rsid w:val="08E91129"/>
    <w:rsid w:val="08EA137C"/>
    <w:rsid w:val="08EA41A4"/>
    <w:rsid w:val="08ED512C"/>
    <w:rsid w:val="08EE4992"/>
    <w:rsid w:val="08F0070A"/>
    <w:rsid w:val="08F0261D"/>
    <w:rsid w:val="08F31FA8"/>
    <w:rsid w:val="08F63846"/>
    <w:rsid w:val="08F655F4"/>
    <w:rsid w:val="08F676D9"/>
    <w:rsid w:val="08F8136C"/>
    <w:rsid w:val="08FB0871"/>
    <w:rsid w:val="08FD6FB7"/>
    <w:rsid w:val="08FF26FB"/>
    <w:rsid w:val="09000221"/>
    <w:rsid w:val="09023F99"/>
    <w:rsid w:val="09045F63"/>
    <w:rsid w:val="09067F2D"/>
    <w:rsid w:val="09075A53"/>
    <w:rsid w:val="09077801"/>
    <w:rsid w:val="09093579"/>
    <w:rsid w:val="090A12E5"/>
    <w:rsid w:val="090B72F2"/>
    <w:rsid w:val="090D12BC"/>
    <w:rsid w:val="090F79F0"/>
    <w:rsid w:val="09104908"/>
    <w:rsid w:val="091268D2"/>
    <w:rsid w:val="091343F8"/>
    <w:rsid w:val="09137F54"/>
    <w:rsid w:val="09161CBE"/>
    <w:rsid w:val="09175C96"/>
    <w:rsid w:val="091D0DD3"/>
    <w:rsid w:val="09216B15"/>
    <w:rsid w:val="0922463B"/>
    <w:rsid w:val="09242161"/>
    <w:rsid w:val="09246605"/>
    <w:rsid w:val="09247DCC"/>
    <w:rsid w:val="0926237D"/>
    <w:rsid w:val="0926412B"/>
    <w:rsid w:val="09265ED9"/>
    <w:rsid w:val="0928674D"/>
    <w:rsid w:val="092B1819"/>
    <w:rsid w:val="092C1016"/>
    <w:rsid w:val="092D370C"/>
    <w:rsid w:val="092E1232"/>
    <w:rsid w:val="092E2FE0"/>
    <w:rsid w:val="09322AD0"/>
    <w:rsid w:val="09330113"/>
    <w:rsid w:val="093323A4"/>
    <w:rsid w:val="09343170"/>
    <w:rsid w:val="0935436E"/>
    <w:rsid w:val="0936683A"/>
    <w:rsid w:val="09385C0D"/>
    <w:rsid w:val="093D1475"/>
    <w:rsid w:val="093D48A8"/>
    <w:rsid w:val="093F51ED"/>
    <w:rsid w:val="09412D13"/>
    <w:rsid w:val="09414AC1"/>
    <w:rsid w:val="09420839"/>
    <w:rsid w:val="09442803"/>
    <w:rsid w:val="0946032A"/>
    <w:rsid w:val="0946657C"/>
    <w:rsid w:val="094840A2"/>
    <w:rsid w:val="094B5940"/>
    <w:rsid w:val="094E71DE"/>
    <w:rsid w:val="095037F8"/>
    <w:rsid w:val="09505E00"/>
    <w:rsid w:val="095119BA"/>
    <w:rsid w:val="09523172"/>
    <w:rsid w:val="09532A47"/>
    <w:rsid w:val="09554A11"/>
    <w:rsid w:val="09562C2B"/>
    <w:rsid w:val="095A6AE5"/>
    <w:rsid w:val="095B73E3"/>
    <w:rsid w:val="095F3199"/>
    <w:rsid w:val="096133B5"/>
    <w:rsid w:val="09622C8A"/>
    <w:rsid w:val="09631DB4"/>
    <w:rsid w:val="0964077B"/>
    <w:rsid w:val="09640E51"/>
    <w:rsid w:val="0966277A"/>
    <w:rsid w:val="09672750"/>
    <w:rsid w:val="09684744"/>
    <w:rsid w:val="0969226A"/>
    <w:rsid w:val="096A04BC"/>
    <w:rsid w:val="096B5FE2"/>
    <w:rsid w:val="096B7D90"/>
    <w:rsid w:val="096D1D5A"/>
    <w:rsid w:val="096D58B6"/>
    <w:rsid w:val="096F5AD2"/>
    <w:rsid w:val="0970184A"/>
    <w:rsid w:val="09736C45"/>
    <w:rsid w:val="097430E9"/>
    <w:rsid w:val="09760E12"/>
    <w:rsid w:val="09781919"/>
    <w:rsid w:val="097906FF"/>
    <w:rsid w:val="09796E38"/>
    <w:rsid w:val="097A7FD3"/>
    <w:rsid w:val="097E3F67"/>
    <w:rsid w:val="097F383C"/>
    <w:rsid w:val="097F55EA"/>
    <w:rsid w:val="09811362"/>
    <w:rsid w:val="0983157E"/>
    <w:rsid w:val="09836790"/>
    <w:rsid w:val="09840E52"/>
    <w:rsid w:val="098552F6"/>
    <w:rsid w:val="09864BCA"/>
    <w:rsid w:val="09880942"/>
    <w:rsid w:val="09896468"/>
    <w:rsid w:val="098A46BA"/>
    <w:rsid w:val="098B21E0"/>
    <w:rsid w:val="098D5F59"/>
    <w:rsid w:val="098D7D07"/>
    <w:rsid w:val="09903C9B"/>
    <w:rsid w:val="099217C1"/>
    <w:rsid w:val="0992356F"/>
    <w:rsid w:val="09952584"/>
    <w:rsid w:val="0995305F"/>
    <w:rsid w:val="09975029"/>
    <w:rsid w:val="0998157E"/>
    <w:rsid w:val="099866AB"/>
    <w:rsid w:val="099948FD"/>
    <w:rsid w:val="099A0675"/>
    <w:rsid w:val="099B2460"/>
    <w:rsid w:val="099C43EE"/>
    <w:rsid w:val="099E0166"/>
    <w:rsid w:val="099F5C8C"/>
    <w:rsid w:val="09A11A04"/>
    <w:rsid w:val="09A43E33"/>
    <w:rsid w:val="09A514F4"/>
    <w:rsid w:val="09A60DC8"/>
    <w:rsid w:val="09A92667"/>
    <w:rsid w:val="09A950D4"/>
    <w:rsid w:val="09AA6B0A"/>
    <w:rsid w:val="09AB6350"/>
    <w:rsid w:val="09AB63DF"/>
    <w:rsid w:val="09AD2157"/>
    <w:rsid w:val="09B01C47"/>
    <w:rsid w:val="09B36186"/>
    <w:rsid w:val="09B434E5"/>
    <w:rsid w:val="09B51008"/>
    <w:rsid w:val="09B74D83"/>
    <w:rsid w:val="09B800B0"/>
    <w:rsid w:val="09B94F9F"/>
    <w:rsid w:val="09B96D4E"/>
    <w:rsid w:val="09BE6112"/>
    <w:rsid w:val="09C13E54"/>
    <w:rsid w:val="09C149B3"/>
    <w:rsid w:val="09C53944"/>
    <w:rsid w:val="09C6146A"/>
    <w:rsid w:val="09C63218"/>
    <w:rsid w:val="09C76373"/>
    <w:rsid w:val="09C86F91"/>
    <w:rsid w:val="09CB4CD3"/>
    <w:rsid w:val="09CB5382"/>
    <w:rsid w:val="09CB6A81"/>
    <w:rsid w:val="09CD0A4B"/>
    <w:rsid w:val="09CD27F9"/>
    <w:rsid w:val="09CF6571"/>
    <w:rsid w:val="09D36317"/>
    <w:rsid w:val="09D41DD9"/>
    <w:rsid w:val="09D516AE"/>
    <w:rsid w:val="09D9119E"/>
    <w:rsid w:val="09D93396"/>
    <w:rsid w:val="09DA6CC4"/>
    <w:rsid w:val="09DE4A06"/>
    <w:rsid w:val="09DE67B4"/>
    <w:rsid w:val="09DF606D"/>
    <w:rsid w:val="09E3201C"/>
    <w:rsid w:val="09E571AC"/>
    <w:rsid w:val="09E95F8D"/>
    <w:rsid w:val="09EA5159"/>
    <w:rsid w:val="09EB2C7F"/>
    <w:rsid w:val="09EC2210"/>
    <w:rsid w:val="09EC7123"/>
    <w:rsid w:val="09EE6308"/>
    <w:rsid w:val="09F47D86"/>
    <w:rsid w:val="09F558AC"/>
    <w:rsid w:val="09F71624"/>
    <w:rsid w:val="09FB3197"/>
    <w:rsid w:val="09FB7366"/>
    <w:rsid w:val="09FC30DE"/>
    <w:rsid w:val="09FE0C04"/>
    <w:rsid w:val="09FF5ECD"/>
    <w:rsid w:val="0A026946"/>
    <w:rsid w:val="0A03548A"/>
    <w:rsid w:val="0A047B22"/>
    <w:rsid w:val="0A051F93"/>
    <w:rsid w:val="0A0755FA"/>
    <w:rsid w:val="0A083831"/>
    <w:rsid w:val="0A0855DF"/>
    <w:rsid w:val="0A0B2D2F"/>
    <w:rsid w:val="0A0B50CF"/>
    <w:rsid w:val="0A0C3321"/>
    <w:rsid w:val="0A0F3905"/>
    <w:rsid w:val="0A0F4BBF"/>
    <w:rsid w:val="0A110938"/>
    <w:rsid w:val="0A122902"/>
    <w:rsid w:val="0A12530B"/>
    <w:rsid w:val="0A12645E"/>
    <w:rsid w:val="0A193C90"/>
    <w:rsid w:val="0A1A3B9F"/>
    <w:rsid w:val="0A1B17B6"/>
    <w:rsid w:val="0A1B3564"/>
    <w:rsid w:val="0A1C108A"/>
    <w:rsid w:val="0A1C5AC0"/>
    <w:rsid w:val="0A1C72DC"/>
    <w:rsid w:val="0A1E12A6"/>
    <w:rsid w:val="0A1E4E03"/>
    <w:rsid w:val="0A200B7B"/>
    <w:rsid w:val="0A2166A1"/>
    <w:rsid w:val="0A21777C"/>
    <w:rsid w:val="0A222B45"/>
    <w:rsid w:val="0A252635"/>
    <w:rsid w:val="0A254566"/>
    <w:rsid w:val="0A261F09"/>
    <w:rsid w:val="0A2756D7"/>
    <w:rsid w:val="0A2763AD"/>
    <w:rsid w:val="0A2A62FF"/>
    <w:rsid w:val="0A2A7C4B"/>
    <w:rsid w:val="0A2C17A5"/>
    <w:rsid w:val="0A2E3227"/>
    <w:rsid w:val="0A2F0DBE"/>
    <w:rsid w:val="0A3010C7"/>
    <w:rsid w:val="0A310FDA"/>
    <w:rsid w:val="0A326B00"/>
    <w:rsid w:val="0A334D52"/>
    <w:rsid w:val="0A342878"/>
    <w:rsid w:val="0A36214C"/>
    <w:rsid w:val="0A3665F0"/>
    <w:rsid w:val="0A3C3E5F"/>
    <w:rsid w:val="0A3D48EC"/>
    <w:rsid w:val="0A3E36F7"/>
    <w:rsid w:val="0A3E54A5"/>
    <w:rsid w:val="0A3E7253"/>
    <w:rsid w:val="0A3F75FD"/>
    <w:rsid w:val="0A474359"/>
    <w:rsid w:val="0A4800D1"/>
    <w:rsid w:val="0A481E7F"/>
    <w:rsid w:val="0A4B75EA"/>
    <w:rsid w:val="0A4D6167"/>
    <w:rsid w:val="0A4E0882"/>
    <w:rsid w:val="0A4E393A"/>
    <w:rsid w:val="0A4F320E"/>
    <w:rsid w:val="0A4F76B2"/>
    <w:rsid w:val="0A51342A"/>
    <w:rsid w:val="0A5151D8"/>
    <w:rsid w:val="0A516F86"/>
    <w:rsid w:val="0A5371A2"/>
    <w:rsid w:val="0A570314"/>
    <w:rsid w:val="0A580541"/>
    <w:rsid w:val="0A586566"/>
    <w:rsid w:val="0A5A3134"/>
    <w:rsid w:val="0A5C00B8"/>
    <w:rsid w:val="0A5C592B"/>
    <w:rsid w:val="0A5D1DCF"/>
    <w:rsid w:val="0A5D3B7D"/>
    <w:rsid w:val="0A5E78F5"/>
    <w:rsid w:val="0A5F5B47"/>
    <w:rsid w:val="0A60366D"/>
    <w:rsid w:val="0A60541B"/>
    <w:rsid w:val="0A634F0B"/>
    <w:rsid w:val="0A652A31"/>
    <w:rsid w:val="0A670558"/>
    <w:rsid w:val="0A672732"/>
    <w:rsid w:val="0A674A6C"/>
    <w:rsid w:val="0A681221"/>
    <w:rsid w:val="0A694E8C"/>
    <w:rsid w:val="0A6A2DB6"/>
    <w:rsid w:val="0A6C2012"/>
    <w:rsid w:val="0A6D0D3A"/>
    <w:rsid w:val="0A6F1B02"/>
    <w:rsid w:val="0A6F38B0"/>
    <w:rsid w:val="0A724AAE"/>
    <w:rsid w:val="0A726CE4"/>
    <w:rsid w:val="0A741F9F"/>
    <w:rsid w:val="0A786C09"/>
    <w:rsid w:val="0A7D421F"/>
    <w:rsid w:val="0A7F7F97"/>
    <w:rsid w:val="0A841FD0"/>
    <w:rsid w:val="0A854E82"/>
    <w:rsid w:val="0A8729A8"/>
    <w:rsid w:val="0A8A2498"/>
    <w:rsid w:val="0A8C6210"/>
    <w:rsid w:val="0A8F385B"/>
    <w:rsid w:val="0A8F3F52"/>
    <w:rsid w:val="0A8F5D00"/>
    <w:rsid w:val="0A8F6BA7"/>
    <w:rsid w:val="0A8F7AAE"/>
    <w:rsid w:val="0A92134D"/>
    <w:rsid w:val="0A922957"/>
    <w:rsid w:val="0A9357F1"/>
    <w:rsid w:val="0A962768"/>
    <w:rsid w:val="0A984BB5"/>
    <w:rsid w:val="0A9D041D"/>
    <w:rsid w:val="0A9E7CF1"/>
    <w:rsid w:val="0AA04F5B"/>
    <w:rsid w:val="0AA23C86"/>
    <w:rsid w:val="0AA25A34"/>
    <w:rsid w:val="0AA338DC"/>
    <w:rsid w:val="0AA479FE"/>
    <w:rsid w:val="0AA51080"/>
    <w:rsid w:val="0AA55524"/>
    <w:rsid w:val="0AA7129C"/>
    <w:rsid w:val="0AA96DC2"/>
    <w:rsid w:val="0AAC0660"/>
    <w:rsid w:val="0AAD0CA0"/>
    <w:rsid w:val="0AAD70F7"/>
    <w:rsid w:val="0AB15C77"/>
    <w:rsid w:val="0AB3379D"/>
    <w:rsid w:val="0AB51320"/>
    <w:rsid w:val="0AB731E2"/>
    <w:rsid w:val="0AB94B2B"/>
    <w:rsid w:val="0ABA1B63"/>
    <w:rsid w:val="0ABE2142"/>
    <w:rsid w:val="0ABE3F2D"/>
    <w:rsid w:val="0ABE41AE"/>
    <w:rsid w:val="0AC0410C"/>
    <w:rsid w:val="0AC105A6"/>
    <w:rsid w:val="0AC168AF"/>
    <w:rsid w:val="0AC21C32"/>
    <w:rsid w:val="0AC260D6"/>
    <w:rsid w:val="0AC44356"/>
    <w:rsid w:val="0AC459AA"/>
    <w:rsid w:val="0AC503B7"/>
    <w:rsid w:val="0ACB4229"/>
    <w:rsid w:val="0AD007F3"/>
    <w:rsid w:val="0AD16319"/>
    <w:rsid w:val="0AD32091"/>
    <w:rsid w:val="0AD33E3F"/>
    <w:rsid w:val="0AD41965"/>
    <w:rsid w:val="0AD55E09"/>
    <w:rsid w:val="0AD57BB7"/>
    <w:rsid w:val="0AD6392F"/>
    <w:rsid w:val="0ADA51CD"/>
    <w:rsid w:val="0ADD4CBE"/>
    <w:rsid w:val="0AE0030A"/>
    <w:rsid w:val="0AE0655C"/>
    <w:rsid w:val="0AE24082"/>
    <w:rsid w:val="0AE41BA8"/>
    <w:rsid w:val="0AE47E6C"/>
    <w:rsid w:val="0AE71698"/>
    <w:rsid w:val="0AE74A31"/>
    <w:rsid w:val="0AE918B4"/>
    <w:rsid w:val="0AF02C43"/>
    <w:rsid w:val="0AF03373"/>
    <w:rsid w:val="0AF10769"/>
    <w:rsid w:val="0AF2183F"/>
    <w:rsid w:val="0AF55D55"/>
    <w:rsid w:val="0AF73FD1"/>
    <w:rsid w:val="0AF81AF7"/>
    <w:rsid w:val="0AF83246"/>
    <w:rsid w:val="0AFA5870"/>
    <w:rsid w:val="0AFB3396"/>
    <w:rsid w:val="0AFB6FF6"/>
    <w:rsid w:val="0AFC15E8"/>
    <w:rsid w:val="0AFC1873"/>
    <w:rsid w:val="0AFD0EBC"/>
    <w:rsid w:val="0B006CC9"/>
    <w:rsid w:val="0B0417E9"/>
    <w:rsid w:val="0B04224A"/>
    <w:rsid w:val="0B043FF8"/>
    <w:rsid w:val="0B0443BA"/>
    <w:rsid w:val="0B071D3B"/>
    <w:rsid w:val="0B076A52"/>
    <w:rsid w:val="0B077F8D"/>
    <w:rsid w:val="0B09160F"/>
    <w:rsid w:val="0B095AB3"/>
    <w:rsid w:val="0B0A4D29"/>
    <w:rsid w:val="0B0A5387"/>
    <w:rsid w:val="0B0A565B"/>
    <w:rsid w:val="0B0B182B"/>
    <w:rsid w:val="0B0F299D"/>
    <w:rsid w:val="0B106E41"/>
    <w:rsid w:val="0B114967"/>
    <w:rsid w:val="0B116715"/>
    <w:rsid w:val="0B16053C"/>
    <w:rsid w:val="0B161F7E"/>
    <w:rsid w:val="0B163D2C"/>
    <w:rsid w:val="0B186F04"/>
    <w:rsid w:val="0B1870B9"/>
    <w:rsid w:val="0B1A7CC0"/>
    <w:rsid w:val="0B1C3A38"/>
    <w:rsid w:val="0B1D330C"/>
    <w:rsid w:val="0B1E459E"/>
    <w:rsid w:val="0B1F0E32"/>
    <w:rsid w:val="0B21104E"/>
    <w:rsid w:val="0B220922"/>
    <w:rsid w:val="0B226B74"/>
    <w:rsid w:val="0B24469B"/>
    <w:rsid w:val="0B266665"/>
    <w:rsid w:val="0B2823DD"/>
    <w:rsid w:val="0B2B3C7B"/>
    <w:rsid w:val="0B2C09F5"/>
    <w:rsid w:val="0B2C17A1"/>
    <w:rsid w:val="0B2C3F6E"/>
    <w:rsid w:val="0B2D79F3"/>
    <w:rsid w:val="0B2E376B"/>
    <w:rsid w:val="0B2E72C7"/>
    <w:rsid w:val="0B304DED"/>
    <w:rsid w:val="0B307376"/>
    <w:rsid w:val="0B330D82"/>
    <w:rsid w:val="0B3348DE"/>
    <w:rsid w:val="0B352404"/>
    <w:rsid w:val="0B354AFA"/>
    <w:rsid w:val="0B3568A8"/>
    <w:rsid w:val="0B36617C"/>
    <w:rsid w:val="0B3A5C6C"/>
    <w:rsid w:val="0B3B0C81"/>
    <w:rsid w:val="0B3C19E4"/>
    <w:rsid w:val="0B41349E"/>
    <w:rsid w:val="0B416FFB"/>
    <w:rsid w:val="0B424B21"/>
    <w:rsid w:val="0B444D3D"/>
    <w:rsid w:val="0B460AB5"/>
    <w:rsid w:val="0B462863"/>
    <w:rsid w:val="0B4765DB"/>
    <w:rsid w:val="0B48482D"/>
    <w:rsid w:val="0B494101"/>
    <w:rsid w:val="0B4A355A"/>
    <w:rsid w:val="0B4B540D"/>
    <w:rsid w:val="0B4B60CB"/>
    <w:rsid w:val="0B4C599F"/>
    <w:rsid w:val="0B4E34C6"/>
    <w:rsid w:val="0B4E7969"/>
    <w:rsid w:val="0B505490"/>
    <w:rsid w:val="0B50723E"/>
    <w:rsid w:val="0B512FB6"/>
    <w:rsid w:val="0B52745A"/>
    <w:rsid w:val="0B536D2E"/>
    <w:rsid w:val="0B537BAB"/>
    <w:rsid w:val="0B550CF8"/>
    <w:rsid w:val="0B571D4F"/>
    <w:rsid w:val="0B574A70"/>
    <w:rsid w:val="0B5778D8"/>
    <w:rsid w:val="0B5807E8"/>
    <w:rsid w:val="0B582596"/>
    <w:rsid w:val="0B584344"/>
    <w:rsid w:val="0B5A00BC"/>
    <w:rsid w:val="0B5C2086"/>
    <w:rsid w:val="0B5E5DFE"/>
    <w:rsid w:val="0B5F679A"/>
    <w:rsid w:val="0B610D74"/>
    <w:rsid w:val="0B6158EF"/>
    <w:rsid w:val="0B642CE9"/>
    <w:rsid w:val="0B664141"/>
    <w:rsid w:val="0B6755F8"/>
    <w:rsid w:val="0B6947A3"/>
    <w:rsid w:val="0B6B1E26"/>
    <w:rsid w:val="0B6B22C9"/>
    <w:rsid w:val="0B6D4294"/>
    <w:rsid w:val="0B6E1DBA"/>
    <w:rsid w:val="0B70235E"/>
    <w:rsid w:val="0B73117E"/>
    <w:rsid w:val="0B770C6E"/>
    <w:rsid w:val="0B776EC0"/>
    <w:rsid w:val="0B792C38"/>
    <w:rsid w:val="0B7C44D7"/>
    <w:rsid w:val="0B7F5D75"/>
    <w:rsid w:val="0B811AED"/>
    <w:rsid w:val="0B81389B"/>
    <w:rsid w:val="0B8200AD"/>
    <w:rsid w:val="0B8213C1"/>
    <w:rsid w:val="0B832C72"/>
    <w:rsid w:val="0B852261"/>
    <w:rsid w:val="0B8769D7"/>
    <w:rsid w:val="0B884C29"/>
    <w:rsid w:val="0B892750"/>
    <w:rsid w:val="0B8A7F80"/>
    <w:rsid w:val="0B8B64C8"/>
    <w:rsid w:val="0B8C5471"/>
    <w:rsid w:val="0B8D4DCB"/>
    <w:rsid w:val="0B901D30"/>
    <w:rsid w:val="0B93537C"/>
    <w:rsid w:val="0B996E37"/>
    <w:rsid w:val="0B9A2BAF"/>
    <w:rsid w:val="0B9A495D"/>
    <w:rsid w:val="0B9A670B"/>
    <w:rsid w:val="0B9C2E79"/>
    <w:rsid w:val="0B9E444D"/>
    <w:rsid w:val="0B9F01C5"/>
    <w:rsid w:val="0BA61553"/>
    <w:rsid w:val="0BA852CC"/>
    <w:rsid w:val="0BA94BA0"/>
    <w:rsid w:val="0BAA32F8"/>
    <w:rsid w:val="0BAB0918"/>
    <w:rsid w:val="0BAB09FF"/>
    <w:rsid w:val="0BAB4DBC"/>
    <w:rsid w:val="0BAD28E2"/>
    <w:rsid w:val="0BAD47AA"/>
    <w:rsid w:val="0BAE0408"/>
    <w:rsid w:val="0BAE21B6"/>
    <w:rsid w:val="0BB04180"/>
    <w:rsid w:val="0BB21CA6"/>
    <w:rsid w:val="0BB36EDB"/>
    <w:rsid w:val="0BB53545"/>
    <w:rsid w:val="0BB579E9"/>
    <w:rsid w:val="0BB7550F"/>
    <w:rsid w:val="0BB772BD"/>
    <w:rsid w:val="0BB971DF"/>
    <w:rsid w:val="0BBC0D77"/>
    <w:rsid w:val="0BBC2E0F"/>
    <w:rsid w:val="0BBD15A9"/>
    <w:rsid w:val="0BBD2B5E"/>
    <w:rsid w:val="0BBD429F"/>
    <w:rsid w:val="0BBE689D"/>
    <w:rsid w:val="0BC1013B"/>
    <w:rsid w:val="0BC24561"/>
    <w:rsid w:val="0BC33EB3"/>
    <w:rsid w:val="0BC35C62"/>
    <w:rsid w:val="0BC419DA"/>
    <w:rsid w:val="0BC65752"/>
    <w:rsid w:val="0BC72610"/>
    <w:rsid w:val="0BC814CA"/>
    <w:rsid w:val="0BC8771C"/>
    <w:rsid w:val="0BCB4B16"/>
    <w:rsid w:val="0BCC67A0"/>
    <w:rsid w:val="0BCD088E"/>
    <w:rsid w:val="0BCE4606"/>
    <w:rsid w:val="0BCF2858"/>
    <w:rsid w:val="0BD25EA5"/>
    <w:rsid w:val="0BD460C1"/>
    <w:rsid w:val="0BD75BB1"/>
    <w:rsid w:val="0BD762D6"/>
    <w:rsid w:val="0BD87233"/>
    <w:rsid w:val="0BDA11FD"/>
    <w:rsid w:val="0BDC6D23"/>
    <w:rsid w:val="0BDE6F3F"/>
    <w:rsid w:val="0BE04A65"/>
    <w:rsid w:val="0BE12940"/>
    <w:rsid w:val="0BE1520A"/>
    <w:rsid w:val="0BE300B2"/>
    <w:rsid w:val="0BE35FBA"/>
    <w:rsid w:val="0BE36304"/>
    <w:rsid w:val="0BE37780"/>
    <w:rsid w:val="0BE5207C"/>
    <w:rsid w:val="0BE62205"/>
    <w:rsid w:val="0BE8391A"/>
    <w:rsid w:val="0BEE4152"/>
    <w:rsid w:val="0BF202F5"/>
    <w:rsid w:val="0BFB189F"/>
    <w:rsid w:val="0BFC73C5"/>
    <w:rsid w:val="0BFE313E"/>
    <w:rsid w:val="0C0149DC"/>
    <w:rsid w:val="0C01678A"/>
    <w:rsid w:val="0C04484A"/>
    <w:rsid w:val="0C060244"/>
    <w:rsid w:val="0C061354"/>
    <w:rsid w:val="0C0A3890"/>
    <w:rsid w:val="0C0D3381"/>
    <w:rsid w:val="0C0F534B"/>
    <w:rsid w:val="0C1110C3"/>
    <w:rsid w:val="0C1224C8"/>
    <w:rsid w:val="0C1254F4"/>
    <w:rsid w:val="0C142961"/>
    <w:rsid w:val="0C172450"/>
    <w:rsid w:val="0C191D25"/>
    <w:rsid w:val="0C197F77"/>
    <w:rsid w:val="0C1C22EB"/>
    <w:rsid w:val="0C1C35C4"/>
    <w:rsid w:val="0C1C6680"/>
    <w:rsid w:val="0C1E10EA"/>
    <w:rsid w:val="0C1E1280"/>
    <w:rsid w:val="0C1F2AF1"/>
    <w:rsid w:val="0C201306"/>
    <w:rsid w:val="0C2030B4"/>
    <w:rsid w:val="0C216E2C"/>
    <w:rsid w:val="0C22507E"/>
    <w:rsid w:val="0C230DF6"/>
    <w:rsid w:val="0C234952"/>
    <w:rsid w:val="0C241F31"/>
    <w:rsid w:val="0C2661F0"/>
    <w:rsid w:val="0C272694"/>
    <w:rsid w:val="0C2A074F"/>
    <w:rsid w:val="0C2A7A8F"/>
    <w:rsid w:val="0C2C1FAA"/>
    <w:rsid w:val="0C2C7CAB"/>
    <w:rsid w:val="0C2D1E06"/>
    <w:rsid w:val="0C2D57D1"/>
    <w:rsid w:val="0C2E0560"/>
    <w:rsid w:val="0C2F32F7"/>
    <w:rsid w:val="0C300E1D"/>
    <w:rsid w:val="0C30706F"/>
    <w:rsid w:val="0C3152C1"/>
    <w:rsid w:val="0C321039"/>
    <w:rsid w:val="0C324B95"/>
    <w:rsid w:val="0C347916"/>
    <w:rsid w:val="0C364685"/>
    <w:rsid w:val="0C3703FE"/>
    <w:rsid w:val="0C3923C8"/>
    <w:rsid w:val="0C395F24"/>
    <w:rsid w:val="0C3A111C"/>
    <w:rsid w:val="0C3A451F"/>
    <w:rsid w:val="0C3B7EEE"/>
    <w:rsid w:val="0C3E178C"/>
    <w:rsid w:val="0C3E353A"/>
    <w:rsid w:val="0C3E79DE"/>
    <w:rsid w:val="0C4068A9"/>
    <w:rsid w:val="0C41127C"/>
    <w:rsid w:val="0C434FF4"/>
    <w:rsid w:val="0C436DA2"/>
    <w:rsid w:val="0C450D6C"/>
    <w:rsid w:val="0C452B1A"/>
    <w:rsid w:val="0C474AE5"/>
    <w:rsid w:val="0C4817EE"/>
    <w:rsid w:val="0C4843B9"/>
    <w:rsid w:val="0C50326D"/>
    <w:rsid w:val="0C54227B"/>
    <w:rsid w:val="0C542D5E"/>
    <w:rsid w:val="0C550884"/>
    <w:rsid w:val="0C5745FC"/>
    <w:rsid w:val="0C5965C6"/>
    <w:rsid w:val="0C5B0590"/>
    <w:rsid w:val="0C5B469B"/>
    <w:rsid w:val="0C5D03D7"/>
    <w:rsid w:val="0C5E3BDC"/>
    <w:rsid w:val="0C6236CC"/>
    <w:rsid w:val="0C637445"/>
    <w:rsid w:val="0C655ADA"/>
    <w:rsid w:val="0C6738AA"/>
    <w:rsid w:val="0C6A07D3"/>
    <w:rsid w:val="0C6A2581"/>
    <w:rsid w:val="0C6C454B"/>
    <w:rsid w:val="0C6C62F9"/>
    <w:rsid w:val="0C6D3E1F"/>
    <w:rsid w:val="0C6D4FE5"/>
    <w:rsid w:val="0C746CE6"/>
    <w:rsid w:val="0C7470E2"/>
    <w:rsid w:val="0C767178"/>
    <w:rsid w:val="0C7D0506"/>
    <w:rsid w:val="0C801897"/>
    <w:rsid w:val="0C807E08"/>
    <w:rsid w:val="0C810882"/>
    <w:rsid w:val="0C811298"/>
    <w:rsid w:val="0C825B1D"/>
    <w:rsid w:val="0C841027"/>
    <w:rsid w:val="0C85560D"/>
    <w:rsid w:val="0C8573BB"/>
    <w:rsid w:val="0C882A07"/>
    <w:rsid w:val="0C8925FB"/>
    <w:rsid w:val="0C8C0749"/>
    <w:rsid w:val="0C8E2713"/>
    <w:rsid w:val="0C8F3D96"/>
    <w:rsid w:val="0C9149E6"/>
    <w:rsid w:val="0C943AA2"/>
    <w:rsid w:val="0C945850"/>
    <w:rsid w:val="0C9615C8"/>
    <w:rsid w:val="0C985340"/>
    <w:rsid w:val="0C9870EE"/>
    <w:rsid w:val="0C9949B9"/>
    <w:rsid w:val="0C994C14"/>
    <w:rsid w:val="0C9A28AE"/>
    <w:rsid w:val="0C9B098C"/>
    <w:rsid w:val="0C9D4705"/>
    <w:rsid w:val="0CA06781"/>
    <w:rsid w:val="0CA21D1B"/>
    <w:rsid w:val="0CA35A93"/>
    <w:rsid w:val="0CA50693"/>
    <w:rsid w:val="0CA710DF"/>
    <w:rsid w:val="0CA737D5"/>
    <w:rsid w:val="0CA84E57"/>
    <w:rsid w:val="0CA912FB"/>
    <w:rsid w:val="0CAA5073"/>
    <w:rsid w:val="0CAD246E"/>
    <w:rsid w:val="0CAF268A"/>
    <w:rsid w:val="0CB101B0"/>
    <w:rsid w:val="0CB11F5E"/>
    <w:rsid w:val="0CB33F28"/>
    <w:rsid w:val="0CB41A4E"/>
    <w:rsid w:val="0CB90E13"/>
    <w:rsid w:val="0CB97065"/>
    <w:rsid w:val="0CBA3508"/>
    <w:rsid w:val="0CBD0903"/>
    <w:rsid w:val="0CBD4DA7"/>
    <w:rsid w:val="0CBD5E72"/>
    <w:rsid w:val="0CBD6B55"/>
    <w:rsid w:val="0CBE28CD"/>
    <w:rsid w:val="0CC021A1"/>
    <w:rsid w:val="0CC04897"/>
    <w:rsid w:val="0CC06645"/>
    <w:rsid w:val="0CCA1272"/>
    <w:rsid w:val="0CCC6D98"/>
    <w:rsid w:val="0CCE0D2E"/>
    <w:rsid w:val="0CCE0D62"/>
    <w:rsid w:val="0CCF4ADA"/>
    <w:rsid w:val="0CD143AE"/>
    <w:rsid w:val="0CD45C4C"/>
    <w:rsid w:val="0CD619C5"/>
    <w:rsid w:val="0CD65E68"/>
    <w:rsid w:val="0CDD71F7"/>
    <w:rsid w:val="0CDE6ACB"/>
    <w:rsid w:val="0CDF4D1D"/>
    <w:rsid w:val="0CE06855"/>
    <w:rsid w:val="0CEC11E8"/>
    <w:rsid w:val="0CEC4112"/>
    <w:rsid w:val="0CEC743A"/>
    <w:rsid w:val="0CEE4F60"/>
    <w:rsid w:val="0CF05EE4"/>
    <w:rsid w:val="0CF34325"/>
    <w:rsid w:val="0CF63E15"/>
    <w:rsid w:val="0CF7422C"/>
    <w:rsid w:val="0CF74AB8"/>
    <w:rsid w:val="0CF74F60"/>
    <w:rsid w:val="0CFA1B57"/>
    <w:rsid w:val="0CFB58CF"/>
    <w:rsid w:val="0CFC11DB"/>
    <w:rsid w:val="0CFE06B0"/>
    <w:rsid w:val="0D002EE5"/>
    <w:rsid w:val="0D0522AA"/>
    <w:rsid w:val="0D091D9A"/>
    <w:rsid w:val="0D093B48"/>
    <w:rsid w:val="0D097FEC"/>
    <w:rsid w:val="0D0A78C0"/>
    <w:rsid w:val="0D0C3638"/>
    <w:rsid w:val="0D0C53E6"/>
    <w:rsid w:val="0D0F4ED6"/>
    <w:rsid w:val="0D1129FD"/>
    <w:rsid w:val="0D11412A"/>
    <w:rsid w:val="0D132C19"/>
    <w:rsid w:val="0D166265"/>
    <w:rsid w:val="0D1A3FA7"/>
    <w:rsid w:val="0D1C412E"/>
    <w:rsid w:val="0D1D3A97"/>
    <w:rsid w:val="0D1E7195"/>
    <w:rsid w:val="0D1F511A"/>
    <w:rsid w:val="0D2005D6"/>
    <w:rsid w:val="0D205087"/>
    <w:rsid w:val="0D2546FA"/>
    <w:rsid w:val="0D2E7A52"/>
    <w:rsid w:val="0D314E4D"/>
    <w:rsid w:val="0D3355BC"/>
    <w:rsid w:val="0D350DE1"/>
    <w:rsid w:val="0D366907"/>
    <w:rsid w:val="0D3861DB"/>
    <w:rsid w:val="0D38685D"/>
    <w:rsid w:val="0D3B5CCB"/>
    <w:rsid w:val="0D3D7C96"/>
    <w:rsid w:val="0D444E00"/>
    <w:rsid w:val="0D466B4A"/>
    <w:rsid w:val="0D480F23"/>
    <w:rsid w:val="0D485A84"/>
    <w:rsid w:val="0D4C7ED9"/>
    <w:rsid w:val="0D4E2C3A"/>
    <w:rsid w:val="0D505C1B"/>
    <w:rsid w:val="0D5079C9"/>
    <w:rsid w:val="0D531267"/>
    <w:rsid w:val="0D533465"/>
    <w:rsid w:val="0D5374B9"/>
    <w:rsid w:val="0D550956"/>
    <w:rsid w:val="0D551A27"/>
    <w:rsid w:val="0D554FDF"/>
    <w:rsid w:val="0D5648B3"/>
    <w:rsid w:val="0D570D57"/>
    <w:rsid w:val="0D584ACF"/>
    <w:rsid w:val="0D591295"/>
    <w:rsid w:val="0D5A43A4"/>
    <w:rsid w:val="0D5B011C"/>
    <w:rsid w:val="0D5F7C0C"/>
    <w:rsid w:val="0D603DD4"/>
    <w:rsid w:val="0D611BD6"/>
    <w:rsid w:val="0D613984"/>
    <w:rsid w:val="0D6214AA"/>
    <w:rsid w:val="0D643474"/>
    <w:rsid w:val="0D662D48"/>
    <w:rsid w:val="0D6B035F"/>
    <w:rsid w:val="0D6B4803"/>
    <w:rsid w:val="0D705975"/>
    <w:rsid w:val="0D7116ED"/>
    <w:rsid w:val="0D7169EE"/>
    <w:rsid w:val="0D72438D"/>
    <w:rsid w:val="0D725B91"/>
    <w:rsid w:val="0D727E7E"/>
    <w:rsid w:val="0D75742F"/>
    <w:rsid w:val="0D766D04"/>
    <w:rsid w:val="0D772860"/>
    <w:rsid w:val="0D7A67F4"/>
    <w:rsid w:val="0D7D0092"/>
    <w:rsid w:val="0D7D62E4"/>
    <w:rsid w:val="0D813912"/>
    <w:rsid w:val="0D82761B"/>
    <w:rsid w:val="0D84412F"/>
    <w:rsid w:val="0D8609C6"/>
    <w:rsid w:val="0D86163D"/>
    <w:rsid w:val="0D870C14"/>
    <w:rsid w:val="0D896A37"/>
    <w:rsid w:val="0D8B0A01"/>
    <w:rsid w:val="0D8B27AF"/>
    <w:rsid w:val="0D8E6743"/>
    <w:rsid w:val="0D8F1F77"/>
    <w:rsid w:val="0D906017"/>
    <w:rsid w:val="0D9217FF"/>
    <w:rsid w:val="0D921D8F"/>
    <w:rsid w:val="0D944959"/>
    <w:rsid w:val="0D9543FB"/>
    <w:rsid w:val="0D957AD2"/>
    <w:rsid w:val="0D96694A"/>
    <w:rsid w:val="0D9760BE"/>
    <w:rsid w:val="0D9C2C0E"/>
    <w:rsid w:val="0D9D0734"/>
    <w:rsid w:val="0DA10224"/>
    <w:rsid w:val="0DA43871"/>
    <w:rsid w:val="0DA542B6"/>
    <w:rsid w:val="0DA63A8D"/>
    <w:rsid w:val="0DA6583B"/>
    <w:rsid w:val="0DA77262"/>
    <w:rsid w:val="0DAB10A3"/>
    <w:rsid w:val="0DAE2941"/>
    <w:rsid w:val="0DB00467"/>
    <w:rsid w:val="0DB066B9"/>
    <w:rsid w:val="0DB42B57"/>
    <w:rsid w:val="0DB53CD0"/>
    <w:rsid w:val="0DB55A7E"/>
    <w:rsid w:val="0DB64F07"/>
    <w:rsid w:val="0DB8556E"/>
    <w:rsid w:val="0DBC0BBA"/>
    <w:rsid w:val="0DBD7033"/>
    <w:rsid w:val="0DBF06AB"/>
    <w:rsid w:val="0DC1585D"/>
    <w:rsid w:val="0DC21F49"/>
    <w:rsid w:val="0DC3019B"/>
    <w:rsid w:val="0DC363ED"/>
    <w:rsid w:val="0DC50BB6"/>
    <w:rsid w:val="0DC61A39"/>
    <w:rsid w:val="0DC66358"/>
    <w:rsid w:val="0DC67D96"/>
    <w:rsid w:val="0DC83A03"/>
    <w:rsid w:val="0DCC0A89"/>
    <w:rsid w:val="0DCD1019"/>
    <w:rsid w:val="0DCE3B66"/>
    <w:rsid w:val="0DCF5F7A"/>
    <w:rsid w:val="0DCF60DD"/>
    <w:rsid w:val="0DD24882"/>
    <w:rsid w:val="0DD34156"/>
    <w:rsid w:val="0DD57ECE"/>
    <w:rsid w:val="0DD73C46"/>
    <w:rsid w:val="0DD759F4"/>
    <w:rsid w:val="0DDA308D"/>
    <w:rsid w:val="0DDC125D"/>
    <w:rsid w:val="0DDC300B"/>
    <w:rsid w:val="0DDE4FD5"/>
    <w:rsid w:val="0DDF0D4D"/>
    <w:rsid w:val="0DDF6F9F"/>
    <w:rsid w:val="0DE14AC5"/>
    <w:rsid w:val="0DE34399"/>
    <w:rsid w:val="0DE620DB"/>
    <w:rsid w:val="0DE93979"/>
    <w:rsid w:val="0DE95727"/>
    <w:rsid w:val="0DEC6932"/>
    <w:rsid w:val="0DED4094"/>
    <w:rsid w:val="0DEF71E2"/>
    <w:rsid w:val="0DF02F5A"/>
    <w:rsid w:val="0DF16743"/>
    <w:rsid w:val="0DF20642"/>
    <w:rsid w:val="0DF742E8"/>
    <w:rsid w:val="0DF77E44"/>
    <w:rsid w:val="0DFD78B7"/>
    <w:rsid w:val="0DFE7425"/>
    <w:rsid w:val="0DFF319D"/>
    <w:rsid w:val="0E012A71"/>
    <w:rsid w:val="0E034A3B"/>
    <w:rsid w:val="0E055DB2"/>
    <w:rsid w:val="0E0849CA"/>
    <w:rsid w:val="0E097B78"/>
    <w:rsid w:val="0E0A5A19"/>
    <w:rsid w:val="0E0B1B42"/>
    <w:rsid w:val="0E0F1632"/>
    <w:rsid w:val="0E1053AA"/>
    <w:rsid w:val="0E1409F6"/>
    <w:rsid w:val="0E141D1A"/>
    <w:rsid w:val="0E197DBB"/>
    <w:rsid w:val="0E1C5AFD"/>
    <w:rsid w:val="0E1E1875"/>
    <w:rsid w:val="0E1E25B6"/>
    <w:rsid w:val="0E1F1149"/>
    <w:rsid w:val="0E200D4E"/>
    <w:rsid w:val="0E213113"/>
    <w:rsid w:val="0E2447F1"/>
    <w:rsid w:val="0E272B23"/>
    <w:rsid w:val="0E2826F4"/>
    <w:rsid w:val="0E283F84"/>
    <w:rsid w:val="0E283FB3"/>
    <w:rsid w:val="0E2A021A"/>
    <w:rsid w:val="0E2A646C"/>
    <w:rsid w:val="0E2B5D40"/>
    <w:rsid w:val="0E2F5830"/>
    <w:rsid w:val="0E326354"/>
    <w:rsid w:val="0E3270CE"/>
    <w:rsid w:val="0E39045D"/>
    <w:rsid w:val="0E43752E"/>
    <w:rsid w:val="0E440BB0"/>
    <w:rsid w:val="0E456E02"/>
    <w:rsid w:val="0E464928"/>
    <w:rsid w:val="0E4A4418"/>
    <w:rsid w:val="0E4B0190"/>
    <w:rsid w:val="0E4B63E2"/>
    <w:rsid w:val="0E4B669F"/>
    <w:rsid w:val="0E4D215A"/>
    <w:rsid w:val="0E5232CD"/>
    <w:rsid w:val="0E527771"/>
    <w:rsid w:val="0E574D87"/>
    <w:rsid w:val="0E59465B"/>
    <w:rsid w:val="0E5C05EF"/>
    <w:rsid w:val="0E5C414B"/>
    <w:rsid w:val="0E5E1C72"/>
    <w:rsid w:val="0E5E4367"/>
    <w:rsid w:val="0E601E8E"/>
    <w:rsid w:val="0E625C06"/>
    <w:rsid w:val="0E63197E"/>
    <w:rsid w:val="0E651252"/>
    <w:rsid w:val="0E6574A4"/>
    <w:rsid w:val="0E666B26"/>
    <w:rsid w:val="0E67321C"/>
    <w:rsid w:val="0E6A6868"/>
    <w:rsid w:val="0E6C4915"/>
    <w:rsid w:val="0E6D0107"/>
    <w:rsid w:val="0E6F20D1"/>
    <w:rsid w:val="0E707BD8"/>
    <w:rsid w:val="0E707BF7"/>
    <w:rsid w:val="0E715E49"/>
    <w:rsid w:val="0E757408"/>
    <w:rsid w:val="0E76345F"/>
    <w:rsid w:val="0E76520D"/>
    <w:rsid w:val="0E775442"/>
    <w:rsid w:val="0E7B78BC"/>
    <w:rsid w:val="0E7E0566"/>
    <w:rsid w:val="0E807E3A"/>
    <w:rsid w:val="0E824BBE"/>
    <w:rsid w:val="0E83347D"/>
    <w:rsid w:val="0E855450"/>
    <w:rsid w:val="0E875E54"/>
    <w:rsid w:val="0E8A515C"/>
    <w:rsid w:val="0E8B67DF"/>
    <w:rsid w:val="0E8C4A31"/>
    <w:rsid w:val="0E8D2557"/>
    <w:rsid w:val="0E8F2773"/>
    <w:rsid w:val="0E903DF5"/>
    <w:rsid w:val="0E927B6D"/>
    <w:rsid w:val="0E941B37"/>
    <w:rsid w:val="0E947D89"/>
    <w:rsid w:val="0E987D02"/>
    <w:rsid w:val="0E9953A0"/>
    <w:rsid w:val="0E9B3F9E"/>
    <w:rsid w:val="0E9D6BF5"/>
    <w:rsid w:val="0EA0228A"/>
    <w:rsid w:val="0EA0672E"/>
    <w:rsid w:val="0EA16002"/>
    <w:rsid w:val="0EA33B28"/>
    <w:rsid w:val="0EA578A0"/>
    <w:rsid w:val="0EA7248B"/>
    <w:rsid w:val="0EA836ED"/>
    <w:rsid w:val="0EA87391"/>
    <w:rsid w:val="0EAC6E81"/>
    <w:rsid w:val="0EAD6DCB"/>
    <w:rsid w:val="0EAF4BC3"/>
    <w:rsid w:val="0EB07C3C"/>
    <w:rsid w:val="0EB2020F"/>
    <w:rsid w:val="0EB45D35"/>
    <w:rsid w:val="0EB83A78"/>
    <w:rsid w:val="0EB9334C"/>
    <w:rsid w:val="0EB9785E"/>
    <w:rsid w:val="0EBB5316"/>
    <w:rsid w:val="0EBD108E"/>
    <w:rsid w:val="0EBD2E3C"/>
    <w:rsid w:val="0EC046DA"/>
    <w:rsid w:val="0EC20452"/>
    <w:rsid w:val="0EC248F6"/>
    <w:rsid w:val="0EC56195"/>
    <w:rsid w:val="0EC6754C"/>
    <w:rsid w:val="0EC732F2"/>
    <w:rsid w:val="0EC75A69"/>
    <w:rsid w:val="0EC87A33"/>
    <w:rsid w:val="0ECC1F2C"/>
    <w:rsid w:val="0ECC307F"/>
    <w:rsid w:val="0ECD7164"/>
    <w:rsid w:val="0ECE329B"/>
    <w:rsid w:val="0ED00D7B"/>
    <w:rsid w:val="0ED04A7F"/>
    <w:rsid w:val="0ED14B39"/>
    <w:rsid w:val="0ED40186"/>
    <w:rsid w:val="0ED4462A"/>
    <w:rsid w:val="0ED604E9"/>
    <w:rsid w:val="0ED62150"/>
    <w:rsid w:val="0ED674F6"/>
    <w:rsid w:val="0ED70339"/>
    <w:rsid w:val="0ED85EC8"/>
    <w:rsid w:val="0EDB1514"/>
    <w:rsid w:val="0EDC43A3"/>
    <w:rsid w:val="0EDC4B80"/>
    <w:rsid w:val="0EDC71A3"/>
    <w:rsid w:val="0EDF64BB"/>
    <w:rsid w:val="0EE228A3"/>
    <w:rsid w:val="0EE25329"/>
    <w:rsid w:val="0EE71797"/>
    <w:rsid w:val="0EE859DF"/>
    <w:rsid w:val="0EED1247"/>
    <w:rsid w:val="0EF1655F"/>
    <w:rsid w:val="0EF3685E"/>
    <w:rsid w:val="0EF54ED7"/>
    <w:rsid w:val="0EF808FE"/>
    <w:rsid w:val="0EFA4090"/>
    <w:rsid w:val="0EFF7422"/>
    <w:rsid w:val="0F0071CD"/>
    <w:rsid w:val="0F0152B2"/>
    <w:rsid w:val="0F015689"/>
    <w:rsid w:val="0F022F45"/>
    <w:rsid w:val="0F024CF3"/>
    <w:rsid w:val="0F026AA1"/>
    <w:rsid w:val="0F056591"/>
    <w:rsid w:val="0F072309"/>
    <w:rsid w:val="0F075BB4"/>
    <w:rsid w:val="0F0942D3"/>
    <w:rsid w:val="0F096081"/>
    <w:rsid w:val="0F0A004B"/>
    <w:rsid w:val="0F0C5B71"/>
    <w:rsid w:val="0F0C791F"/>
    <w:rsid w:val="0F0E7940"/>
    <w:rsid w:val="0F0E7B3C"/>
    <w:rsid w:val="0F0F1F61"/>
    <w:rsid w:val="0F0F7410"/>
    <w:rsid w:val="0F11271D"/>
    <w:rsid w:val="0F113188"/>
    <w:rsid w:val="0F123399"/>
    <w:rsid w:val="0F125876"/>
    <w:rsid w:val="0F130CAE"/>
    <w:rsid w:val="0F1345A3"/>
    <w:rsid w:val="0F1418F9"/>
    <w:rsid w:val="0F1669F0"/>
    <w:rsid w:val="0F184516"/>
    <w:rsid w:val="0F1A028E"/>
    <w:rsid w:val="0F1B4006"/>
    <w:rsid w:val="0F1B7B63"/>
    <w:rsid w:val="0F1D7D7F"/>
    <w:rsid w:val="0F1E7653"/>
    <w:rsid w:val="0F1F58A5"/>
    <w:rsid w:val="0F220EF1"/>
    <w:rsid w:val="0F242EBB"/>
    <w:rsid w:val="0F283D96"/>
    <w:rsid w:val="0F297F23"/>
    <w:rsid w:val="0F2C6214"/>
    <w:rsid w:val="0F2C69E9"/>
    <w:rsid w:val="0F2D2774"/>
    <w:rsid w:val="0F2E5AE8"/>
    <w:rsid w:val="0F307991"/>
    <w:rsid w:val="0F307AB2"/>
    <w:rsid w:val="0F31382A"/>
    <w:rsid w:val="0F3341F4"/>
    <w:rsid w:val="0F3375A2"/>
    <w:rsid w:val="0F346E76"/>
    <w:rsid w:val="0F350C32"/>
    <w:rsid w:val="0F390A43"/>
    <w:rsid w:val="0F3A26DF"/>
    <w:rsid w:val="0F3A448D"/>
    <w:rsid w:val="0F3B0205"/>
    <w:rsid w:val="0F3B4AA4"/>
    <w:rsid w:val="0F3D21CF"/>
    <w:rsid w:val="0F3D3F7D"/>
    <w:rsid w:val="0F3D5D2B"/>
    <w:rsid w:val="0F421593"/>
    <w:rsid w:val="0F44530B"/>
    <w:rsid w:val="0F476BAA"/>
    <w:rsid w:val="0F484622"/>
    <w:rsid w:val="0F492922"/>
    <w:rsid w:val="0F4B669A"/>
    <w:rsid w:val="0F4D6EB9"/>
    <w:rsid w:val="0F4E1CE6"/>
    <w:rsid w:val="0F4E2F1A"/>
    <w:rsid w:val="0F4F43AA"/>
    <w:rsid w:val="0F50049E"/>
    <w:rsid w:val="0F5117D6"/>
    <w:rsid w:val="0F52189B"/>
    <w:rsid w:val="0F5512C6"/>
    <w:rsid w:val="0F556ADB"/>
    <w:rsid w:val="0F572B3C"/>
    <w:rsid w:val="0F5A4B2F"/>
    <w:rsid w:val="0F5A60C1"/>
    <w:rsid w:val="0F5C08A7"/>
    <w:rsid w:val="0F5D0323"/>
    <w:rsid w:val="0F5F2145"/>
    <w:rsid w:val="0F5F3EF3"/>
    <w:rsid w:val="0F622820"/>
    <w:rsid w:val="0F6428CD"/>
    <w:rsid w:val="0F64775C"/>
    <w:rsid w:val="0F656151"/>
    <w:rsid w:val="0F657030"/>
    <w:rsid w:val="0F661DB2"/>
    <w:rsid w:val="0F6634D4"/>
    <w:rsid w:val="0F67724C"/>
    <w:rsid w:val="0F692FC4"/>
    <w:rsid w:val="0F6A6E55"/>
    <w:rsid w:val="0F6E05DA"/>
    <w:rsid w:val="0F70347B"/>
    <w:rsid w:val="0F711E78"/>
    <w:rsid w:val="0F73174D"/>
    <w:rsid w:val="0F753717"/>
    <w:rsid w:val="0F76123D"/>
    <w:rsid w:val="0F78188D"/>
    <w:rsid w:val="0F7B4AA5"/>
    <w:rsid w:val="0F7C2CF7"/>
    <w:rsid w:val="0F7C3C77"/>
    <w:rsid w:val="0F7F6343"/>
    <w:rsid w:val="0F825E34"/>
    <w:rsid w:val="0F84395A"/>
    <w:rsid w:val="0F890F70"/>
    <w:rsid w:val="0F8971C2"/>
    <w:rsid w:val="0F8B2F3A"/>
    <w:rsid w:val="0F8B4CE8"/>
    <w:rsid w:val="0F8E47D8"/>
    <w:rsid w:val="0F8E6586"/>
    <w:rsid w:val="0F8F137D"/>
    <w:rsid w:val="0F9022FF"/>
    <w:rsid w:val="0F916077"/>
    <w:rsid w:val="0F953F6E"/>
    <w:rsid w:val="0F96368D"/>
    <w:rsid w:val="0F985657"/>
    <w:rsid w:val="0F9B0CA3"/>
    <w:rsid w:val="0FA20284"/>
    <w:rsid w:val="0FA250E1"/>
    <w:rsid w:val="0FA43FFC"/>
    <w:rsid w:val="0FA579EC"/>
    <w:rsid w:val="0FA61B22"/>
    <w:rsid w:val="0FA638D0"/>
    <w:rsid w:val="0FA67D74"/>
    <w:rsid w:val="0FAC4C5F"/>
    <w:rsid w:val="0FB029A1"/>
    <w:rsid w:val="0FB26719"/>
    <w:rsid w:val="0FB51D65"/>
    <w:rsid w:val="0FB6788B"/>
    <w:rsid w:val="0FBA737B"/>
    <w:rsid w:val="0FBC1346"/>
    <w:rsid w:val="0FBC27D4"/>
    <w:rsid w:val="0FBF4992"/>
    <w:rsid w:val="0FBF6D8B"/>
    <w:rsid w:val="0FC1070A"/>
    <w:rsid w:val="0FC24482"/>
    <w:rsid w:val="0FC30926"/>
    <w:rsid w:val="0FC323FE"/>
    <w:rsid w:val="0FC63F72"/>
    <w:rsid w:val="0FC85F3C"/>
    <w:rsid w:val="0FC92877"/>
    <w:rsid w:val="0FC95811"/>
    <w:rsid w:val="0FCB77DB"/>
    <w:rsid w:val="0FCD5301"/>
    <w:rsid w:val="0FD03043"/>
    <w:rsid w:val="0FD20B69"/>
    <w:rsid w:val="0FD50659"/>
    <w:rsid w:val="0FD52407"/>
    <w:rsid w:val="0FD814C2"/>
    <w:rsid w:val="0FD83CA6"/>
    <w:rsid w:val="0FDA030E"/>
    <w:rsid w:val="0FDA5C70"/>
    <w:rsid w:val="0FDC19E8"/>
    <w:rsid w:val="0FDC5544"/>
    <w:rsid w:val="0FDE750E"/>
    <w:rsid w:val="0FE5719E"/>
    <w:rsid w:val="0FE663C2"/>
    <w:rsid w:val="0FE73EE9"/>
    <w:rsid w:val="0FE8213B"/>
    <w:rsid w:val="0FE91A0F"/>
    <w:rsid w:val="0FEB540B"/>
    <w:rsid w:val="0FED59A3"/>
    <w:rsid w:val="0FF00FEF"/>
    <w:rsid w:val="0FF24D67"/>
    <w:rsid w:val="0FF3288D"/>
    <w:rsid w:val="0FF4755A"/>
    <w:rsid w:val="0FF52AA9"/>
    <w:rsid w:val="0FF54858"/>
    <w:rsid w:val="0FFB6AD0"/>
    <w:rsid w:val="0FFC1742"/>
    <w:rsid w:val="0FFE31DD"/>
    <w:rsid w:val="0FFF7484"/>
    <w:rsid w:val="10011211"/>
    <w:rsid w:val="1001144E"/>
    <w:rsid w:val="100131FC"/>
    <w:rsid w:val="100625C1"/>
    <w:rsid w:val="10066A65"/>
    <w:rsid w:val="10090303"/>
    <w:rsid w:val="10094969"/>
    <w:rsid w:val="100A0500"/>
    <w:rsid w:val="100D0318"/>
    <w:rsid w:val="100D7DF3"/>
    <w:rsid w:val="10107F1A"/>
    <w:rsid w:val="10132AE3"/>
    <w:rsid w:val="10134CDE"/>
    <w:rsid w:val="10143353"/>
    <w:rsid w:val="10152804"/>
    <w:rsid w:val="10156CA8"/>
    <w:rsid w:val="101738D4"/>
    <w:rsid w:val="10174381"/>
    <w:rsid w:val="10196798"/>
    <w:rsid w:val="101A2510"/>
    <w:rsid w:val="101A42BE"/>
    <w:rsid w:val="101E1351"/>
    <w:rsid w:val="1021564D"/>
    <w:rsid w:val="10233173"/>
    <w:rsid w:val="10234FF5"/>
    <w:rsid w:val="1025513D"/>
    <w:rsid w:val="10260EB5"/>
    <w:rsid w:val="10262C63"/>
    <w:rsid w:val="1027514F"/>
    <w:rsid w:val="102869DB"/>
    <w:rsid w:val="102962AF"/>
    <w:rsid w:val="102A2753"/>
    <w:rsid w:val="102B64CB"/>
    <w:rsid w:val="102E5FAA"/>
    <w:rsid w:val="10314AE4"/>
    <w:rsid w:val="103233B6"/>
    <w:rsid w:val="1032785A"/>
    <w:rsid w:val="1033098C"/>
    <w:rsid w:val="10343EAB"/>
    <w:rsid w:val="10345380"/>
    <w:rsid w:val="1034712E"/>
    <w:rsid w:val="1035465E"/>
    <w:rsid w:val="10367D49"/>
    <w:rsid w:val="10374E70"/>
    <w:rsid w:val="10377987"/>
    <w:rsid w:val="103C2486"/>
    <w:rsid w:val="103C5FE2"/>
    <w:rsid w:val="103F5AD3"/>
    <w:rsid w:val="10433815"/>
    <w:rsid w:val="104355C3"/>
    <w:rsid w:val="10442F69"/>
    <w:rsid w:val="1045133B"/>
    <w:rsid w:val="10463305"/>
    <w:rsid w:val="104650B3"/>
    <w:rsid w:val="10466E02"/>
    <w:rsid w:val="104B540B"/>
    <w:rsid w:val="104B74BE"/>
    <w:rsid w:val="104C2C74"/>
    <w:rsid w:val="104D01F0"/>
    <w:rsid w:val="104F21BA"/>
    <w:rsid w:val="10501A8E"/>
    <w:rsid w:val="10507CE0"/>
    <w:rsid w:val="10521CAA"/>
    <w:rsid w:val="10525806"/>
    <w:rsid w:val="105477D0"/>
    <w:rsid w:val="10575305"/>
    <w:rsid w:val="10594DE6"/>
    <w:rsid w:val="105C0433"/>
    <w:rsid w:val="105E41AB"/>
    <w:rsid w:val="106043C7"/>
    <w:rsid w:val="10611EED"/>
    <w:rsid w:val="10650D36"/>
    <w:rsid w:val="10686DD7"/>
    <w:rsid w:val="106A0DA2"/>
    <w:rsid w:val="106B4B1A"/>
    <w:rsid w:val="106D43EE"/>
    <w:rsid w:val="106E1CFB"/>
    <w:rsid w:val="106E3E49"/>
    <w:rsid w:val="106F0166"/>
    <w:rsid w:val="10702130"/>
    <w:rsid w:val="10716AD4"/>
    <w:rsid w:val="107240FA"/>
    <w:rsid w:val="10725EA8"/>
    <w:rsid w:val="107439CE"/>
    <w:rsid w:val="1074577C"/>
    <w:rsid w:val="10771491"/>
    <w:rsid w:val="10790550"/>
    <w:rsid w:val="10795489"/>
    <w:rsid w:val="10797237"/>
    <w:rsid w:val="107A6B0B"/>
    <w:rsid w:val="107C0AD5"/>
    <w:rsid w:val="107E484D"/>
    <w:rsid w:val="107E65FB"/>
    <w:rsid w:val="1081433D"/>
    <w:rsid w:val="10850D97"/>
    <w:rsid w:val="10861954"/>
    <w:rsid w:val="10881228"/>
    <w:rsid w:val="108B0D18"/>
    <w:rsid w:val="108C6F6A"/>
    <w:rsid w:val="108D4A90"/>
    <w:rsid w:val="108F0808"/>
    <w:rsid w:val="1090632E"/>
    <w:rsid w:val="109401F4"/>
    <w:rsid w:val="10944070"/>
    <w:rsid w:val="10973AD9"/>
    <w:rsid w:val="109776BD"/>
    <w:rsid w:val="10991687"/>
    <w:rsid w:val="10993435"/>
    <w:rsid w:val="109C4CD3"/>
    <w:rsid w:val="109E0A4B"/>
    <w:rsid w:val="10A32505"/>
    <w:rsid w:val="10A342B4"/>
    <w:rsid w:val="10A5002C"/>
    <w:rsid w:val="10A73DA4"/>
    <w:rsid w:val="10A818CA"/>
    <w:rsid w:val="10AA3894"/>
    <w:rsid w:val="10AA7D4E"/>
    <w:rsid w:val="10AB4F16"/>
    <w:rsid w:val="10AC13BA"/>
    <w:rsid w:val="10B1077E"/>
    <w:rsid w:val="10B169D0"/>
    <w:rsid w:val="10B206E1"/>
    <w:rsid w:val="10B464C1"/>
    <w:rsid w:val="10B556B8"/>
    <w:rsid w:val="10B71B0D"/>
    <w:rsid w:val="10B77D5F"/>
    <w:rsid w:val="10BC578F"/>
    <w:rsid w:val="10BC7123"/>
    <w:rsid w:val="10BE10ED"/>
    <w:rsid w:val="10C04E65"/>
    <w:rsid w:val="10C2298C"/>
    <w:rsid w:val="10C27E33"/>
    <w:rsid w:val="10C34956"/>
    <w:rsid w:val="10C5422A"/>
    <w:rsid w:val="10C64D91"/>
    <w:rsid w:val="10C81F6C"/>
    <w:rsid w:val="10CA1840"/>
    <w:rsid w:val="10CA7A92"/>
    <w:rsid w:val="10CC699D"/>
    <w:rsid w:val="10CD1330"/>
    <w:rsid w:val="10CD6A2A"/>
    <w:rsid w:val="10CF32FA"/>
    <w:rsid w:val="10CF6E57"/>
    <w:rsid w:val="10D206F5"/>
    <w:rsid w:val="10D3115B"/>
    <w:rsid w:val="10D34B99"/>
    <w:rsid w:val="10D426BF"/>
    <w:rsid w:val="10D51608"/>
    <w:rsid w:val="10D517BE"/>
    <w:rsid w:val="10D64689"/>
    <w:rsid w:val="10D80200"/>
    <w:rsid w:val="10DB57FB"/>
    <w:rsid w:val="10E01064"/>
    <w:rsid w:val="10E30B54"/>
    <w:rsid w:val="10E467CA"/>
    <w:rsid w:val="10E53570"/>
    <w:rsid w:val="10E723F2"/>
    <w:rsid w:val="10EA0134"/>
    <w:rsid w:val="10EA3C90"/>
    <w:rsid w:val="10EF574B"/>
    <w:rsid w:val="10EF74F9"/>
    <w:rsid w:val="10F13271"/>
    <w:rsid w:val="10F25464"/>
    <w:rsid w:val="10F42D61"/>
    <w:rsid w:val="10F46BA2"/>
    <w:rsid w:val="10F845FF"/>
    <w:rsid w:val="10F863AD"/>
    <w:rsid w:val="10F92125"/>
    <w:rsid w:val="10FB40F0"/>
    <w:rsid w:val="10FB7C4C"/>
    <w:rsid w:val="10FE629D"/>
    <w:rsid w:val="11020FDA"/>
    <w:rsid w:val="1102722C"/>
    <w:rsid w:val="11032FA4"/>
    <w:rsid w:val="110424CC"/>
    <w:rsid w:val="11063FEA"/>
    <w:rsid w:val="11072A94"/>
    <w:rsid w:val="11083981"/>
    <w:rsid w:val="110A60E1"/>
    <w:rsid w:val="110E3E08"/>
    <w:rsid w:val="110E5BD1"/>
    <w:rsid w:val="110F67DD"/>
    <w:rsid w:val="11140D0D"/>
    <w:rsid w:val="11146F5F"/>
    <w:rsid w:val="11160F29"/>
    <w:rsid w:val="111807FE"/>
    <w:rsid w:val="11186A50"/>
    <w:rsid w:val="111A46D0"/>
    <w:rsid w:val="111B6540"/>
    <w:rsid w:val="111E1B8C"/>
    <w:rsid w:val="111E393A"/>
    <w:rsid w:val="11200159"/>
    <w:rsid w:val="11203B56"/>
    <w:rsid w:val="11207761"/>
    <w:rsid w:val="1122167C"/>
    <w:rsid w:val="112A0531"/>
    <w:rsid w:val="112A22DF"/>
    <w:rsid w:val="112C42A9"/>
    <w:rsid w:val="112C7CBB"/>
    <w:rsid w:val="112E1DCF"/>
    <w:rsid w:val="112F78F5"/>
    <w:rsid w:val="11357601"/>
    <w:rsid w:val="11366ED6"/>
    <w:rsid w:val="11380EA0"/>
    <w:rsid w:val="113849FC"/>
    <w:rsid w:val="11390774"/>
    <w:rsid w:val="113969C6"/>
    <w:rsid w:val="113A4C18"/>
    <w:rsid w:val="11401B02"/>
    <w:rsid w:val="11405FA6"/>
    <w:rsid w:val="11407D54"/>
    <w:rsid w:val="1143294E"/>
    <w:rsid w:val="114338F3"/>
    <w:rsid w:val="11456F43"/>
    <w:rsid w:val="11470ED2"/>
    <w:rsid w:val="11472E91"/>
    <w:rsid w:val="114775E0"/>
    <w:rsid w:val="114809B7"/>
    <w:rsid w:val="11494E5B"/>
    <w:rsid w:val="11496C09"/>
    <w:rsid w:val="114A0BD3"/>
    <w:rsid w:val="114A128D"/>
    <w:rsid w:val="114C2A92"/>
    <w:rsid w:val="114E421F"/>
    <w:rsid w:val="114F6D97"/>
    <w:rsid w:val="11535CDA"/>
    <w:rsid w:val="1154735C"/>
    <w:rsid w:val="11561326"/>
    <w:rsid w:val="115832F0"/>
    <w:rsid w:val="11592BC4"/>
    <w:rsid w:val="1159757E"/>
    <w:rsid w:val="115A177E"/>
    <w:rsid w:val="115E01DA"/>
    <w:rsid w:val="115F3CA4"/>
    <w:rsid w:val="116021A5"/>
    <w:rsid w:val="116457F1"/>
    <w:rsid w:val="116522F5"/>
    <w:rsid w:val="1168681B"/>
    <w:rsid w:val="116972AB"/>
    <w:rsid w:val="116973E7"/>
    <w:rsid w:val="116A4DD1"/>
    <w:rsid w:val="116B3023"/>
    <w:rsid w:val="116C0B49"/>
    <w:rsid w:val="116E48C1"/>
    <w:rsid w:val="116F1134"/>
    <w:rsid w:val="116F4196"/>
    <w:rsid w:val="1170063A"/>
    <w:rsid w:val="11716160"/>
    <w:rsid w:val="11717F0E"/>
    <w:rsid w:val="11731ED8"/>
    <w:rsid w:val="117423E6"/>
    <w:rsid w:val="11763776"/>
    <w:rsid w:val="117702AA"/>
    <w:rsid w:val="117F6ACF"/>
    <w:rsid w:val="118045F5"/>
    <w:rsid w:val="11812847"/>
    <w:rsid w:val="118253BD"/>
    <w:rsid w:val="11826AFE"/>
    <w:rsid w:val="118440E5"/>
    <w:rsid w:val="118714DF"/>
    <w:rsid w:val="11872970"/>
    <w:rsid w:val="11874169"/>
    <w:rsid w:val="118934A9"/>
    <w:rsid w:val="118B7221"/>
    <w:rsid w:val="118C11EC"/>
    <w:rsid w:val="118C2F9A"/>
    <w:rsid w:val="118C4D48"/>
    <w:rsid w:val="118F65E6"/>
    <w:rsid w:val="11904838"/>
    <w:rsid w:val="119105B0"/>
    <w:rsid w:val="11934328"/>
    <w:rsid w:val="11943BFC"/>
    <w:rsid w:val="11951E4E"/>
    <w:rsid w:val="11963E18"/>
    <w:rsid w:val="119838F5"/>
    <w:rsid w:val="119C142F"/>
    <w:rsid w:val="119C2276"/>
    <w:rsid w:val="119D51A7"/>
    <w:rsid w:val="119D6F55"/>
    <w:rsid w:val="11A26319"/>
    <w:rsid w:val="11A4434D"/>
    <w:rsid w:val="11A5516D"/>
    <w:rsid w:val="11A7392F"/>
    <w:rsid w:val="11A77389"/>
    <w:rsid w:val="11A93B4C"/>
    <w:rsid w:val="11AB1672"/>
    <w:rsid w:val="11AC31FB"/>
    <w:rsid w:val="11AE1162"/>
    <w:rsid w:val="11AF6FAB"/>
    <w:rsid w:val="11B03C20"/>
    <w:rsid w:val="11B048C6"/>
    <w:rsid w:val="11B04EDA"/>
    <w:rsid w:val="11B12A00"/>
    <w:rsid w:val="11B30526"/>
    <w:rsid w:val="11B36778"/>
    <w:rsid w:val="11B40719"/>
    <w:rsid w:val="11B6439C"/>
    <w:rsid w:val="11B76268"/>
    <w:rsid w:val="11B81FE1"/>
    <w:rsid w:val="11BA40BE"/>
    <w:rsid w:val="11BC387F"/>
    <w:rsid w:val="11BD13A5"/>
    <w:rsid w:val="11BF336F"/>
    <w:rsid w:val="11BF511D"/>
    <w:rsid w:val="11BF6ECB"/>
    <w:rsid w:val="11C049F1"/>
    <w:rsid w:val="11C20769"/>
    <w:rsid w:val="11C5374F"/>
    <w:rsid w:val="11C6025A"/>
    <w:rsid w:val="11C63DA2"/>
    <w:rsid w:val="11C664AC"/>
    <w:rsid w:val="11C73FD2"/>
    <w:rsid w:val="11C91AF8"/>
    <w:rsid w:val="11C95F9C"/>
    <w:rsid w:val="11CA637E"/>
    <w:rsid w:val="11CD0504"/>
    <w:rsid w:val="11CD10A4"/>
    <w:rsid w:val="11CE56DE"/>
    <w:rsid w:val="11CE710E"/>
    <w:rsid w:val="11D010D8"/>
    <w:rsid w:val="11D24E50"/>
    <w:rsid w:val="11D363A6"/>
    <w:rsid w:val="11D5049D"/>
    <w:rsid w:val="11D64215"/>
    <w:rsid w:val="11D6529E"/>
    <w:rsid w:val="11D706B9"/>
    <w:rsid w:val="11D72467"/>
    <w:rsid w:val="11DC20E9"/>
    <w:rsid w:val="11DC7A7D"/>
    <w:rsid w:val="11DD37F5"/>
    <w:rsid w:val="11DD55A3"/>
    <w:rsid w:val="11E22BBA"/>
    <w:rsid w:val="11E24A0B"/>
    <w:rsid w:val="11E903EC"/>
    <w:rsid w:val="11EB4164"/>
    <w:rsid w:val="11EC57E6"/>
    <w:rsid w:val="11ED1C8A"/>
    <w:rsid w:val="11EE77B0"/>
    <w:rsid w:val="11F0177A"/>
    <w:rsid w:val="11F052D6"/>
    <w:rsid w:val="11F1099F"/>
    <w:rsid w:val="11F34DC7"/>
    <w:rsid w:val="11F70527"/>
    <w:rsid w:val="11F748B7"/>
    <w:rsid w:val="11F823DD"/>
    <w:rsid w:val="11FA43A7"/>
    <w:rsid w:val="11FE3E97"/>
    <w:rsid w:val="11FF19BD"/>
    <w:rsid w:val="11FF376C"/>
    <w:rsid w:val="11FF551A"/>
    <w:rsid w:val="11FF7BE6"/>
    <w:rsid w:val="12031173"/>
    <w:rsid w:val="12042B30"/>
    <w:rsid w:val="12045226"/>
    <w:rsid w:val="12046FD4"/>
    <w:rsid w:val="12064AFA"/>
    <w:rsid w:val="12066789"/>
    <w:rsid w:val="12072620"/>
    <w:rsid w:val="12080872"/>
    <w:rsid w:val="12086AC4"/>
    <w:rsid w:val="120B24D6"/>
    <w:rsid w:val="120C7C36"/>
    <w:rsid w:val="120D4DF6"/>
    <w:rsid w:val="120E39AF"/>
    <w:rsid w:val="1212349F"/>
    <w:rsid w:val="121511E1"/>
    <w:rsid w:val="12152F8F"/>
    <w:rsid w:val="12192A7F"/>
    <w:rsid w:val="121C2E46"/>
    <w:rsid w:val="121E62E8"/>
    <w:rsid w:val="12211934"/>
    <w:rsid w:val="122136E2"/>
    <w:rsid w:val="12246778"/>
    <w:rsid w:val="1227056E"/>
    <w:rsid w:val="12282CC2"/>
    <w:rsid w:val="122A6EEF"/>
    <w:rsid w:val="122B27B2"/>
    <w:rsid w:val="122C22A8"/>
    <w:rsid w:val="122D46DF"/>
    <w:rsid w:val="122E5DFF"/>
    <w:rsid w:val="123258EF"/>
    <w:rsid w:val="123300B6"/>
    <w:rsid w:val="12330252"/>
    <w:rsid w:val="12353631"/>
    <w:rsid w:val="123D0D6C"/>
    <w:rsid w:val="123F13C6"/>
    <w:rsid w:val="123F1DBA"/>
    <w:rsid w:val="123F67F5"/>
    <w:rsid w:val="12413A23"/>
    <w:rsid w:val="12413D84"/>
    <w:rsid w:val="12415B32"/>
    <w:rsid w:val="124318AA"/>
    <w:rsid w:val="12443874"/>
    <w:rsid w:val="12483364"/>
    <w:rsid w:val="124949E7"/>
    <w:rsid w:val="124A70DD"/>
    <w:rsid w:val="124B7969"/>
    <w:rsid w:val="124D097B"/>
    <w:rsid w:val="124D2729"/>
    <w:rsid w:val="124D44D7"/>
    <w:rsid w:val="124E024F"/>
    <w:rsid w:val="124F64A1"/>
    <w:rsid w:val="12502219"/>
    <w:rsid w:val="12503FC7"/>
    <w:rsid w:val="12527D3F"/>
    <w:rsid w:val="1256357C"/>
    <w:rsid w:val="12564A7C"/>
    <w:rsid w:val="125910CE"/>
    <w:rsid w:val="12597320"/>
    <w:rsid w:val="125C0BBE"/>
    <w:rsid w:val="125E4936"/>
    <w:rsid w:val="126161D4"/>
    <w:rsid w:val="12635AA8"/>
    <w:rsid w:val="12677C09"/>
    <w:rsid w:val="126A5698"/>
    <w:rsid w:val="126B2BAF"/>
    <w:rsid w:val="126D2DCB"/>
    <w:rsid w:val="12704669"/>
    <w:rsid w:val="12745F08"/>
    <w:rsid w:val="12751C80"/>
    <w:rsid w:val="127557DC"/>
    <w:rsid w:val="12786986"/>
    <w:rsid w:val="1279351E"/>
    <w:rsid w:val="12797E16"/>
    <w:rsid w:val="127C300E"/>
    <w:rsid w:val="127C3C10"/>
    <w:rsid w:val="127D7762"/>
    <w:rsid w:val="127E53C9"/>
    <w:rsid w:val="127E6D86"/>
    <w:rsid w:val="127F48AC"/>
    <w:rsid w:val="127F665A"/>
    <w:rsid w:val="128123D2"/>
    <w:rsid w:val="128165A8"/>
    <w:rsid w:val="1283614B"/>
    <w:rsid w:val="12850115"/>
    <w:rsid w:val="12863E8D"/>
    <w:rsid w:val="12877170"/>
    <w:rsid w:val="128819B3"/>
    <w:rsid w:val="1289075F"/>
    <w:rsid w:val="128B3251"/>
    <w:rsid w:val="128C628C"/>
    <w:rsid w:val="128D0D77"/>
    <w:rsid w:val="128F377D"/>
    <w:rsid w:val="12900868"/>
    <w:rsid w:val="12905F07"/>
    <w:rsid w:val="12906AB9"/>
    <w:rsid w:val="12910C6D"/>
    <w:rsid w:val="129245E0"/>
    <w:rsid w:val="12961F0E"/>
    <w:rsid w:val="129640D0"/>
    <w:rsid w:val="129739A4"/>
    <w:rsid w:val="1299771C"/>
    <w:rsid w:val="129C720C"/>
    <w:rsid w:val="129F0AAB"/>
    <w:rsid w:val="129F0C93"/>
    <w:rsid w:val="12A06CFD"/>
    <w:rsid w:val="12A22F6F"/>
    <w:rsid w:val="12A762DD"/>
    <w:rsid w:val="12A8795F"/>
    <w:rsid w:val="12AD1419"/>
    <w:rsid w:val="12B24C82"/>
    <w:rsid w:val="12B37438"/>
    <w:rsid w:val="12B44556"/>
    <w:rsid w:val="12B5207C"/>
    <w:rsid w:val="12B72298"/>
    <w:rsid w:val="12B74046"/>
    <w:rsid w:val="12B75DF4"/>
    <w:rsid w:val="12BC165D"/>
    <w:rsid w:val="12C0114D"/>
    <w:rsid w:val="12C02EFB"/>
    <w:rsid w:val="12C0739F"/>
    <w:rsid w:val="12C10A21"/>
    <w:rsid w:val="12C3643D"/>
    <w:rsid w:val="12C549B5"/>
    <w:rsid w:val="12C5641C"/>
    <w:rsid w:val="12C86253"/>
    <w:rsid w:val="12CA3D79"/>
    <w:rsid w:val="12CA5B28"/>
    <w:rsid w:val="12CC7AF2"/>
    <w:rsid w:val="12CD386A"/>
    <w:rsid w:val="12CD73C6"/>
    <w:rsid w:val="12CF1390"/>
    <w:rsid w:val="12D06EB6"/>
    <w:rsid w:val="12D15108"/>
    <w:rsid w:val="12D270D2"/>
    <w:rsid w:val="12D50968"/>
    <w:rsid w:val="12D6271E"/>
    <w:rsid w:val="12D746E8"/>
    <w:rsid w:val="12DB7D35"/>
    <w:rsid w:val="12DD1CFF"/>
    <w:rsid w:val="12DE7825"/>
    <w:rsid w:val="12E017EF"/>
    <w:rsid w:val="12E12E71"/>
    <w:rsid w:val="12E23CE3"/>
    <w:rsid w:val="12E25944"/>
    <w:rsid w:val="12E3308D"/>
    <w:rsid w:val="12E34E3B"/>
    <w:rsid w:val="12E4134C"/>
    <w:rsid w:val="12E52961"/>
    <w:rsid w:val="12E806A4"/>
    <w:rsid w:val="12E84200"/>
    <w:rsid w:val="12EA441C"/>
    <w:rsid w:val="12EA5817"/>
    <w:rsid w:val="12EB3CF0"/>
    <w:rsid w:val="12ED0DC6"/>
    <w:rsid w:val="12ED7A68"/>
    <w:rsid w:val="12EE01F9"/>
    <w:rsid w:val="12EF1A32"/>
    <w:rsid w:val="12F11306"/>
    <w:rsid w:val="12F17558"/>
    <w:rsid w:val="12F25E2D"/>
    <w:rsid w:val="12F62DC0"/>
    <w:rsid w:val="12F901BB"/>
    <w:rsid w:val="12F9465F"/>
    <w:rsid w:val="12FA3BCB"/>
    <w:rsid w:val="12FB2185"/>
    <w:rsid w:val="12FE511D"/>
    <w:rsid w:val="1300779B"/>
    <w:rsid w:val="13021765"/>
    <w:rsid w:val="13031039"/>
    <w:rsid w:val="13082AF4"/>
    <w:rsid w:val="13086650"/>
    <w:rsid w:val="130A23C8"/>
    <w:rsid w:val="130C4392"/>
    <w:rsid w:val="131119A8"/>
    <w:rsid w:val="13117C44"/>
    <w:rsid w:val="131320DA"/>
    <w:rsid w:val="13165211"/>
    <w:rsid w:val="13166FBF"/>
    <w:rsid w:val="13180F89"/>
    <w:rsid w:val="13196AAF"/>
    <w:rsid w:val="131A70DA"/>
    <w:rsid w:val="131B2827"/>
    <w:rsid w:val="131B45D5"/>
    <w:rsid w:val="131C20FB"/>
    <w:rsid w:val="131D659F"/>
    <w:rsid w:val="131E7C21"/>
    <w:rsid w:val="131F4456"/>
    <w:rsid w:val="13217712"/>
    <w:rsid w:val="13220D35"/>
    <w:rsid w:val="13225964"/>
    <w:rsid w:val="13246E38"/>
    <w:rsid w:val="13294F44"/>
    <w:rsid w:val="132C0590"/>
    <w:rsid w:val="132F0080"/>
    <w:rsid w:val="133236CD"/>
    <w:rsid w:val="1333260E"/>
    <w:rsid w:val="133451EC"/>
    <w:rsid w:val="133631BD"/>
    <w:rsid w:val="133833D9"/>
    <w:rsid w:val="13385187"/>
    <w:rsid w:val="13390EFF"/>
    <w:rsid w:val="13394A5B"/>
    <w:rsid w:val="133B6A25"/>
    <w:rsid w:val="133C549C"/>
    <w:rsid w:val="133D19A4"/>
    <w:rsid w:val="133E02C4"/>
    <w:rsid w:val="133E2072"/>
    <w:rsid w:val="133E6515"/>
    <w:rsid w:val="1340228E"/>
    <w:rsid w:val="13421B62"/>
    <w:rsid w:val="134441B4"/>
    <w:rsid w:val="134621D2"/>
    <w:rsid w:val="13464EA3"/>
    <w:rsid w:val="13465FE5"/>
    <w:rsid w:val="134B6768"/>
    <w:rsid w:val="134D114A"/>
    <w:rsid w:val="134E3533"/>
    <w:rsid w:val="13516249"/>
    <w:rsid w:val="13517FF7"/>
    <w:rsid w:val="13520775"/>
    <w:rsid w:val="13525B1D"/>
    <w:rsid w:val="13533D6F"/>
    <w:rsid w:val="13541895"/>
    <w:rsid w:val="13547AE7"/>
    <w:rsid w:val="13561AB1"/>
    <w:rsid w:val="135639C7"/>
    <w:rsid w:val="13566748"/>
    <w:rsid w:val="13566AB3"/>
    <w:rsid w:val="135670F6"/>
    <w:rsid w:val="13596EAB"/>
    <w:rsid w:val="135A334F"/>
    <w:rsid w:val="135A4A4C"/>
    <w:rsid w:val="135D2E40"/>
    <w:rsid w:val="135E0459"/>
    <w:rsid w:val="13631AD8"/>
    <w:rsid w:val="13632A7F"/>
    <w:rsid w:val="13632E3B"/>
    <w:rsid w:val="13641290"/>
    <w:rsid w:val="13651CF4"/>
    <w:rsid w:val="136715C8"/>
    <w:rsid w:val="1376180B"/>
    <w:rsid w:val="13762088"/>
    <w:rsid w:val="13783BD1"/>
    <w:rsid w:val="137C7F93"/>
    <w:rsid w:val="137D2B9A"/>
    <w:rsid w:val="137F4B64"/>
    <w:rsid w:val="13802363"/>
    <w:rsid w:val="1380268A"/>
    <w:rsid w:val="13815D2A"/>
    <w:rsid w:val="138163C4"/>
    <w:rsid w:val="138228A6"/>
    <w:rsid w:val="13824C83"/>
    <w:rsid w:val="138959E3"/>
    <w:rsid w:val="13897791"/>
    <w:rsid w:val="138A175B"/>
    <w:rsid w:val="138E124B"/>
    <w:rsid w:val="138F0A28"/>
    <w:rsid w:val="138F0B1F"/>
    <w:rsid w:val="13904FC3"/>
    <w:rsid w:val="13906D71"/>
    <w:rsid w:val="13912AE9"/>
    <w:rsid w:val="13914897"/>
    <w:rsid w:val="13916645"/>
    <w:rsid w:val="1393060F"/>
    <w:rsid w:val="139323BD"/>
    <w:rsid w:val="13955CCA"/>
    <w:rsid w:val="13955E87"/>
    <w:rsid w:val="13961EAE"/>
    <w:rsid w:val="13983E78"/>
    <w:rsid w:val="139879D4"/>
    <w:rsid w:val="1399374C"/>
    <w:rsid w:val="139A199E"/>
    <w:rsid w:val="139B3968"/>
    <w:rsid w:val="139B5716"/>
    <w:rsid w:val="139D3570"/>
    <w:rsid w:val="139E0D62"/>
    <w:rsid w:val="13A02D2C"/>
    <w:rsid w:val="13A04ADA"/>
    <w:rsid w:val="13A22600"/>
    <w:rsid w:val="13A24CF6"/>
    <w:rsid w:val="13A445CA"/>
    <w:rsid w:val="13A52BEE"/>
    <w:rsid w:val="13A7230D"/>
    <w:rsid w:val="13AA10D3"/>
    <w:rsid w:val="13AA1353"/>
    <w:rsid w:val="13AB531F"/>
    <w:rsid w:val="13AC7923"/>
    <w:rsid w:val="13AE7D8B"/>
    <w:rsid w:val="13AF2F6F"/>
    <w:rsid w:val="13B011C1"/>
    <w:rsid w:val="13B13D62"/>
    <w:rsid w:val="13B62550"/>
    <w:rsid w:val="13B81E24"/>
    <w:rsid w:val="13B862C8"/>
    <w:rsid w:val="13BA0A4B"/>
    <w:rsid w:val="13BA3DEE"/>
    <w:rsid w:val="13BB14CF"/>
    <w:rsid w:val="13BC5DB8"/>
    <w:rsid w:val="13BD743A"/>
    <w:rsid w:val="13BF1262"/>
    <w:rsid w:val="13BF1404"/>
    <w:rsid w:val="13C0517C"/>
    <w:rsid w:val="13C1339A"/>
    <w:rsid w:val="13C95DDF"/>
    <w:rsid w:val="13CC58CF"/>
    <w:rsid w:val="13CE328A"/>
    <w:rsid w:val="13D11AC8"/>
    <w:rsid w:val="13D31D3F"/>
    <w:rsid w:val="13D34EB0"/>
    <w:rsid w:val="13D50C28"/>
    <w:rsid w:val="13D641B3"/>
    <w:rsid w:val="13D80718"/>
    <w:rsid w:val="13D84274"/>
    <w:rsid w:val="13D93B40"/>
    <w:rsid w:val="13DA4490"/>
    <w:rsid w:val="13DA623E"/>
    <w:rsid w:val="13DF5603"/>
    <w:rsid w:val="13E1581F"/>
    <w:rsid w:val="13E175CD"/>
    <w:rsid w:val="13E22B90"/>
    <w:rsid w:val="13E62E35"/>
    <w:rsid w:val="13E744B7"/>
    <w:rsid w:val="13E9022F"/>
    <w:rsid w:val="13E939FC"/>
    <w:rsid w:val="13E97E92"/>
    <w:rsid w:val="13ED41C3"/>
    <w:rsid w:val="13EE1CD2"/>
    <w:rsid w:val="13EE5846"/>
    <w:rsid w:val="13EF7788"/>
    <w:rsid w:val="13F05A62"/>
    <w:rsid w:val="13F07810"/>
    <w:rsid w:val="13F310AE"/>
    <w:rsid w:val="13F866C4"/>
    <w:rsid w:val="13FA0E17"/>
    <w:rsid w:val="13FA41EA"/>
    <w:rsid w:val="13FB7F63"/>
    <w:rsid w:val="13FD45D9"/>
    <w:rsid w:val="13FF5CA5"/>
    <w:rsid w:val="13FF7A53"/>
    <w:rsid w:val="1402217A"/>
    <w:rsid w:val="14025795"/>
    <w:rsid w:val="14055F2A"/>
    <w:rsid w:val="14060DE1"/>
    <w:rsid w:val="140A205D"/>
    <w:rsid w:val="140B464A"/>
    <w:rsid w:val="140B63F8"/>
    <w:rsid w:val="140E5EE8"/>
    <w:rsid w:val="14121EBF"/>
    <w:rsid w:val="141253DE"/>
    <w:rsid w:val="141259D8"/>
    <w:rsid w:val="14150CB6"/>
    <w:rsid w:val="14151024"/>
    <w:rsid w:val="141554C8"/>
    <w:rsid w:val="14172FEE"/>
    <w:rsid w:val="14184FB8"/>
    <w:rsid w:val="141A2ADF"/>
    <w:rsid w:val="141A663B"/>
    <w:rsid w:val="141B23B3"/>
    <w:rsid w:val="141D25CF"/>
    <w:rsid w:val="141D612B"/>
    <w:rsid w:val="141F00F5"/>
    <w:rsid w:val="14213E6D"/>
    <w:rsid w:val="14221993"/>
    <w:rsid w:val="14223741"/>
    <w:rsid w:val="142474B9"/>
    <w:rsid w:val="14264FE0"/>
    <w:rsid w:val="142676D5"/>
    <w:rsid w:val="142B6A9A"/>
    <w:rsid w:val="142D2812"/>
    <w:rsid w:val="142F2CAE"/>
    <w:rsid w:val="143040B0"/>
    <w:rsid w:val="14307D5E"/>
    <w:rsid w:val="14335CCB"/>
    <w:rsid w:val="143376FC"/>
    <w:rsid w:val="14353475"/>
    <w:rsid w:val="1437543F"/>
    <w:rsid w:val="14382F65"/>
    <w:rsid w:val="143A0A8B"/>
    <w:rsid w:val="143A4F2F"/>
    <w:rsid w:val="143B18C7"/>
    <w:rsid w:val="143E4A1F"/>
    <w:rsid w:val="14432035"/>
    <w:rsid w:val="14445DAD"/>
    <w:rsid w:val="14495172"/>
    <w:rsid w:val="144A5D9E"/>
    <w:rsid w:val="144B0EEA"/>
    <w:rsid w:val="144C07BE"/>
    <w:rsid w:val="144C6FE7"/>
    <w:rsid w:val="144D6A10"/>
    <w:rsid w:val="145002AE"/>
    <w:rsid w:val="14514E92"/>
    <w:rsid w:val="14551D69"/>
    <w:rsid w:val="14553B17"/>
    <w:rsid w:val="145558C5"/>
    <w:rsid w:val="145A112D"/>
    <w:rsid w:val="145A4152"/>
    <w:rsid w:val="145C30F7"/>
    <w:rsid w:val="145D29CB"/>
    <w:rsid w:val="145E56A4"/>
    <w:rsid w:val="145F04F1"/>
    <w:rsid w:val="145F228C"/>
    <w:rsid w:val="145F6743"/>
    <w:rsid w:val="14641FAC"/>
    <w:rsid w:val="14643D5A"/>
    <w:rsid w:val="14665D24"/>
    <w:rsid w:val="14667AD2"/>
    <w:rsid w:val="14685425"/>
    <w:rsid w:val="14691370"/>
    <w:rsid w:val="146B333A"/>
    <w:rsid w:val="146F4EE8"/>
    <w:rsid w:val="147026FF"/>
    <w:rsid w:val="147246C9"/>
    <w:rsid w:val="14733F9D"/>
    <w:rsid w:val="147541B9"/>
    <w:rsid w:val="14771CDF"/>
    <w:rsid w:val="147A17CF"/>
    <w:rsid w:val="147B7002"/>
    <w:rsid w:val="147C72F5"/>
    <w:rsid w:val="147E306D"/>
    <w:rsid w:val="147E4E1C"/>
    <w:rsid w:val="147F0B94"/>
    <w:rsid w:val="147F2942"/>
    <w:rsid w:val="148111F6"/>
    <w:rsid w:val="1481490C"/>
    <w:rsid w:val="148166BA"/>
    <w:rsid w:val="148368D6"/>
    <w:rsid w:val="148461AA"/>
    <w:rsid w:val="14860BF1"/>
    <w:rsid w:val="14861F22"/>
    <w:rsid w:val="14885D40"/>
    <w:rsid w:val="14887A48"/>
    <w:rsid w:val="148B12E6"/>
    <w:rsid w:val="148B7538"/>
    <w:rsid w:val="148D1503"/>
    <w:rsid w:val="148E0DD7"/>
    <w:rsid w:val="14902DA1"/>
    <w:rsid w:val="149219C3"/>
    <w:rsid w:val="149418F0"/>
    <w:rsid w:val="14942891"/>
    <w:rsid w:val="14943583"/>
    <w:rsid w:val="14950344"/>
    <w:rsid w:val="1497412F"/>
    <w:rsid w:val="14983A03"/>
    <w:rsid w:val="149B2A75"/>
    <w:rsid w:val="149B46E3"/>
    <w:rsid w:val="149C1746"/>
    <w:rsid w:val="149C34F4"/>
    <w:rsid w:val="149E54BE"/>
    <w:rsid w:val="14A16D5C"/>
    <w:rsid w:val="14A30D26"/>
    <w:rsid w:val="14A44CEC"/>
    <w:rsid w:val="14A66120"/>
    <w:rsid w:val="14A8633C"/>
    <w:rsid w:val="14A95C11"/>
    <w:rsid w:val="14AD3953"/>
    <w:rsid w:val="14AE3227"/>
    <w:rsid w:val="14AF1479"/>
    <w:rsid w:val="14B00D4D"/>
    <w:rsid w:val="14B20F69"/>
    <w:rsid w:val="14B22D17"/>
    <w:rsid w:val="14B44CE1"/>
    <w:rsid w:val="14B60A59"/>
    <w:rsid w:val="14B720DC"/>
    <w:rsid w:val="14BA7E1E"/>
    <w:rsid w:val="14BB574D"/>
    <w:rsid w:val="14BC1DE8"/>
    <w:rsid w:val="14BE346A"/>
    <w:rsid w:val="14C0248F"/>
    <w:rsid w:val="14C12F5A"/>
    <w:rsid w:val="14CB3DD9"/>
    <w:rsid w:val="14CF38C9"/>
    <w:rsid w:val="14D013EF"/>
    <w:rsid w:val="14D709D0"/>
    <w:rsid w:val="14D7277E"/>
    <w:rsid w:val="14D964F6"/>
    <w:rsid w:val="14DB226E"/>
    <w:rsid w:val="14DC1398"/>
    <w:rsid w:val="14DE3B0C"/>
    <w:rsid w:val="14DF0578"/>
    <w:rsid w:val="14DF1632"/>
    <w:rsid w:val="14E05AD6"/>
    <w:rsid w:val="14E07884"/>
    <w:rsid w:val="14E153AA"/>
    <w:rsid w:val="14E46C49"/>
    <w:rsid w:val="14E8107C"/>
    <w:rsid w:val="14E86739"/>
    <w:rsid w:val="14EA399C"/>
    <w:rsid w:val="14EB139A"/>
    <w:rsid w:val="14EB6229"/>
    <w:rsid w:val="14EB7FD7"/>
    <w:rsid w:val="14EC25C7"/>
    <w:rsid w:val="14EC447B"/>
    <w:rsid w:val="14ED1FA1"/>
    <w:rsid w:val="14EF5D19"/>
    <w:rsid w:val="14EF780E"/>
    <w:rsid w:val="14F0401E"/>
    <w:rsid w:val="14F25809"/>
    <w:rsid w:val="14F43330"/>
    <w:rsid w:val="14F450DE"/>
    <w:rsid w:val="14F50E56"/>
    <w:rsid w:val="14F670A8"/>
    <w:rsid w:val="14FA6062"/>
    <w:rsid w:val="14FB2910"/>
    <w:rsid w:val="14FB46BE"/>
    <w:rsid w:val="14FC0436"/>
    <w:rsid w:val="14FC21E4"/>
    <w:rsid w:val="14FE0980"/>
    <w:rsid w:val="14FE32A2"/>
    <w:rsid w:val="14FE5E73"/>
    <w:rsid w:val="14FE762F"/>
    <w:rsid w:val="15003A82"/>
    <w:rsid w:val="15007F26"/>
    <w:rsid w:val="150177FB"/>
    <w:rsid w:val="15033573"/>
    <w:rsid w:val="1505553D"/>
    <w:rsid w:val="15064E11"/>
    <w:rsid w:val="150712B5"/>
    <w:rsid w:val="15076514"/>
    <w:rsid w:val="15082937"/>
    <w:rsid w:val="15086DDB"/>
    <w:rsid w:val="150B2427"/>
    <w:rsid w:val="150C68CB"/>
    <w:rsid w:val="150F0169"/>
    <w:rsid w:val="150F1F18"/>
    <w:rsid w:val="15115C90"/>
    <w:rsid w:val="151237B6"/>
    <w:rsid w:val="15127979"/>
    <w:rsid w:val="151412DC"/>
    <w:rsid w:val="15150099"/>
    <w:rsid w:val="151614F8"/>
    <w:rsid w:val="15192A7B"/>
    <w:rsid w:val="151B08BC"/>
    <w:rsid w:val="151E65FF"/>
    <w:rsid w:val="15204125"/>
    <w:rsid w:val="15211C4B"/>
    <w:rsid w:val="1522229D"/>
    <w:rsid w:val="15227E9D"/>
    <w:rsid w:val="15233B2D"/>
    <w:rsid w:val="152359C3"/>
    <w:rsid w:val="1525173B"/>
    <w:rsid w:val="152534E9"/>
    <w:rsid w:val="1525798D"/>
    <w:rsid w:val="15284D87"/>
    <w:rsid w:val="152D05F0"/>
    <w:rsid w:val="152D6842"/>
    <w:rsid w:val="152F25BA"/>
    <w:rsid w:val="152F4368"/>
    <w:rsid w:val="15316332"/>
    <w:rsid w:val="15347BD0"/>
    <w:rsid w:val="153876C0"/>
    <w:rsid w:val="153B2D0D"/>
    <w:rsid w:val="153C0833"/>
    <w:rsid w:val="153C6A85"/>
    <w:rsid w:val="15400323"/>
    <w:rsid w:val="154047C7"/>
    <w:rsid w:val="15415E49"/>
    <w:rsid w:val="154222ED"/>
    <w:rsid w:val="154276D1"/>
    <w:rsid w:val="15436065"/>
    <w:rsid w:val="15455939"/>
    <w:rsid w:val="15475B55"/>
    <w:rsid w:val="154806C6"/>
    <w:rsid w:val="1548367B"/>
    <w:rsid w:val="154A0419"/>
    <w:rsid w:val="154A11A2"/>
    <w:rsid w:val="154C316C"/>
    <w:rsid w:val="154F4A0A"/>
    <w:rsid w:val="15512530"/>
    <w:rsid w:val="155468E1"/>
    <w:rsid w:val="15565D98"/>
    <w:rsid w:val="15567B46"/>
    <w:rsid w:val="1557566D"/>
    <w:rsid w:val="155913E5"/>
    <w:rsid w:val="15591B3D"/>
    <w:rsid w:val="15595889"/>
    <w:rsid w:val="155B6F0B"/>
    <w:rsid w:val="155C2C83"/>
    <w:rsid w:val="155D7127"/>
    <w:rsid w:val="156038DF"/>
    <w:rsid w:val="15604521"/>
    <w:rsid w:val="15634011"/>
    <w:rsid w:val="15655FDB"/>
    <w:rsid w:val="15695ACC"/>
    <w:rsid w:val="156C2EC6"/>
    <w:rsid w:val="156C43B4"/>
    <w:rsid w:val="156F29B6"/>
    <w:rsid w:val="15712BD2"/>
    <w:rsid w:val="1571672E"/>
    <w:rsid w:val="15730D7C"/>
    <w:rsid w:val="15763D45"/>
    <w:rsid w:val="15766853"/>
    <w:rsid w:val="15791A87"/>
    <w:rsid w:val="15793835"/>
    <w:rsid w:val="157B135B"/>
    <w:rsid w:val="157E5BC8"/>
    <w:rsid w:val="15802E15"/>
    <w:rsid w:val="15804BC3"/>
    <w:rsid w:val="158305A9"/>
    <w:rsid w:val="158346B4"/>
    <w:rsid w:val="1585042C"/>
    <w:rsid w:val="1585667E"/>
    <w:rsid w:val="158741A4"/>
    <w:rsid w:val="15875F52"/>
    <w:rsid w:val="15877D00"/>
    <w:rsid w:val="158A77F0"/>
    <w:rsid w:val="158B01CB"/>
    <w:rsid w:val="158C5316"/>
    <w:rsid w:val="158D108E"/>
    <w:rsid w:val="158F1A82"/>
    <w:rsid w:val="15962AE1"/>
    <w:rsid w:val="15977EAF"/>
    <w:rsid w:val="15997A33"/>
    <w:rsid w:val="159D4C03"/>
    <w:rsid w:val="159D5775"/>
    <w:rsid w:val="159E329B"/>
    <w:rsid w:val="15A1784D"/>
    <w:rsid w:val="15A24B3A"/>
    <w:rsid w:val="15A46B04"/>
    <w:rsid w:val="15A53943"/>
    <w:rsid w:val="15A703A2"/>
    <w:rsid w:val="15A72150"/>
    <w:rsid w:val="15A76263"/>
    <w:rsid w:val="15A779A4"/>
    <w:rsid w:val="15A9236C"/>
    <w:rsid w:val="15A94E95"/>
    <w:rsid w:val="15A96842"/>
    <w:rsid w:val="15AA1C40"/>
    <w:rsid w:val="15AB4BE4"/>
    <w:rsid w:val="15AC59B8"/>
    <w:rsid w:val="15AC7766"/>
    <w:rsid w:val="15AE4CA6"/>
    <w:rsid w:val="15AE7982"/>
    <w:rsid w:val="15AF353F"/>
    <w:rsid w:val="15B11EE6"/>
    <w:rsid w:val="15B35F47"/>
    <w:rsid w:val="15B50D11"/>
    <w:rsid w:val="15B825AF"/>
    <w:rsid w:val="15B8610B"/>
    <w:rsid w:val="15B91E83"/>
    <w:rsid w:val="15B97F07"/>
    <w:rsid w:val="15BB3E4D"/>
    <w:rsid w:val="15BD1974"/>
    <w:rsid w:val="15C22E6B"/>
    <w:rsid w:val="15C342FB"/>
    <w:rsid w:val="15C90318"/>
    <w:rsid w:val="15CA22E2"/>
    <w:rsid w:val="15CA2D3E"/>
    <w:rsid w:val="15CE3B81"/>
    <w:rsid w:val="15D0546F"/>
    <w:rsid w:val="15D31197"/>
    <w:rsid w:val="15D60C87"/>
    <w:rsid w:val="15D62A35"/>
    <w:rsid w:val="15D849FF"/>
    <w:rsid w:val="15D867AD"/>
    <w:rsid w:val="15DB44F0"/>
    <w:rsid w:val="15DB629E"/>
    <w:rsid w:val="15DD0268"/>
    <w:rsid w:val="15DD2016"/>
    <w:rsid w:val="15DD3DC4"/>
    <w:rsid w:val="15DD7A73"/>
    <w:rsid w:val="15DE533C"/>
    <w:rsid w:val="15E05662"/>
    <w:rsid w:val="15E11B06"/>
    <w:rsid w:val="15E52C78"/>
    <w:rsid w:val="15E83826"/>
    <w:rsid w:val="15E96C0C"/>
    <w:rsid w:val="15EA028F"/>
    <w:rsid w:val="15EB6B8F"/>
    <w:rsid w:val="15EE2139"/>
    <w:rsid w:val="15EE7D7F"/>
    <w:rsid w:val="15EF3AF7"/>
    <w:rsid w:val="15F07F9B"/>
    <w:rsid w:val="15F1786F"/>
    <w:rsid w:val="15F335E7"/>
    <w:rsid w:val="15F44BBD"/>
    <w:rsid w:val="15F61D5B"/>
    <w:rsid w:val="15F64E85"/>
    <w:rsid w:val="15F80229"/>
    <w:rsid w:val="15F8467B"/>
    <w:rsid w:val="15FA2BC8"/>
    <w:rsid w:val="15FB249C"/>
    <w:rsid w:val="15FD7FC2"/>
    <w:rsid w:val="16041350"/>
    <w:rsid w:val="160550C9"/>
    <w:rsid w:val="160939A2"/>
    <w:rsid w:val="16096967"/>
    <w:rsid w:val="160B0931"/>
    <w:rsid w:val="160C28FB"/>
    <w:rsid w:val="160C56C2"/>
    <w:rsid w:val="160E6673"/>
    <w:rsid w:val="160F6FEB"/>
    <w:rsid w:val="1610127B"/>
    <w:rsid w:val="16104199"/>
    <w:rsid w:val="16117F11"/>
    <w:rsid w:val="16175528"/>
    <w:rsid w:val="161812A0"/>
    <w:rsid w:val="161A5018"/>
    <w:rsid w:val="161B48EC"/>
    <w:rsid w:val="161D2412"/>
    <w:rsid w:val="161E34FC"/>
    <w:rsid w:val="161F04FA"/>
    <w:rsid w:val="16223ECC"/>
    <w:rsid w:val="16242865"/>
    <w:rsid w:val="162437A1"/>
    <w:rsid w:val="16247C45"/>
    <w:rsid w:val="16252961"/>
    <w:rsid w:val="162639BD"/>
    <w:rsid w:val="162714E3"/>
    <w:rsid w:val="162722CA"/>
    <w:rsid w:val="16297009"/>
    <w:rsid w:val="162A44F8"/>
    <w:rsid w:val="162C6AF9"/>
    <w:rsid w:val="162E0AC3"/>
    <w:rsid w:val="162E25C4"/>
    <w:rsid w:val="16302145"/>
    <w:rsid w:val="163065E9"/>
    <w:rsid w:val="1632217B"/>
    <w:rsid w:val="163360DA"/>
    <w:rsid w:val="16351E52"/>
    <w:rsid w:val="16353C00"/>
    <w:rsid w:val="163559AE"/>
    <w:rsid w:val="1635647A"/>
    <w:rsid w:val="1635775C"/>
    <w:rsid w:val="163634D4"/>
    <w:rsid w:val="163A2FC4"/>
    <w:rsid w:val="163A7468"/>
    <w:rsid w:val="163D4862"/>
    <w:rsid w:val="163F4A7E"/>
    <w:rsid w:val="16465E0D"/>
    <w:rsid w:val="16467BBB"/>
    <w:rsid w:val="16473933"/>
    <w:rsid w:val="16493207"/>
    <w:rsid w:val="164976AB"/>
    <w:rsid w:val="164B51D1"/>
    <w:rsid w:val="16504596"/>
    <w:rsid w:val="1651030E"/>
    <w:rsid w:val="16516CA8"/>
    <w:rsid w:val="165247B2"/>
    <w:rsid w:val="16560199"/>
    <w:rsid w:val="16565924"/>
    <w:rsid w:val="16585B40"/>
    <w:rsid w:val="16596A26"/>
    <w:rsid w:val="165A18B8"/>
    <w:rsid w:val="165A5414"/>
    <w:rsid w:val="165C73DE"/>
    <w:rsid w:val="166221AA"/>
    <w:rsid w:val="1662251B"/>
    <w:rsid w:val="166242C9"/>
    <w:rsid w:val="1663076D"/>
    <w:rsid w:val="16642292"/>
    <w:rsid w:val="16646CBF"/>
    <w:rsid w:val="1665195E"/>
    <w:rsid w:val="16677A13"/>
    <w:rsid w:val="166938A9"/>
    <w:rsid w:val="166C5148"/>
    <w:rsid w:val="166E7112"/>
    <w:rsid w:val="167069E6"/>
    <w:rsid w:val="16734728"/>
    <w:rsid w:val="1674297A"/>
    <w:rsid w:val="167504A0"/>
    <w:rsid w:val="16753FFC"/>
    <w:rsid w:val="1676667C"/>
    <w:rsid w:val="16775B11"/>
    <w:rsid w:val="16783AEC"/>
    <w:rsid w:val="167A5AB7"/>
    <w:rsid w:val="167A7865"/>
    <w:rsid w:val="167C35DD"/>
    <w:rsid w:val="167D7355"/>
    <w:rsid w:val="167F4AB6"/>
    <w:rsid w:val="16810BF3"/>
    <w:rsid w:val="168406E3"/>
    <w:rsid w:val="168416D9"/>
    <w:rsid w:val="16842491"/>
    <w:rsid w:val="16846935"/>
    <w:rsid w:val="16895CFA"/>
    <w:rsid w:val="168B1A72"/>
    <w:rsid w:val="168D3A3C"/>
    <w:rsid w:val="168E1562"/>
    <w:rsid w:val="168E5B5C"/>
    <w:rsid w:val="16900E36"/>
    <w:rsid w:val="1692064E"/>
    <w:rsid w:val="16924BAE"/>
    <w:rsid w:val="169528F0"/>
    <w:rsid w:val="16970417"/>
    <w:rsid w:val="169C3C7F"/>
    <w:rsid w:val="169D534A"/>
    <w:rsid w:val="169E17A5"/>
    <w:rsid w:val="169E79F7"/>
    <w:rsid w:val="16A10D7E"/>
    <w:rsid w:val="16A42B33"/>
    <w:rsid w:val="16A448E1"/>
    <w:rsid w:val="16A6065A"/>
    <w:rsid w:val="16A754B9"/>
    <w:rsid w:val="16A843D2"/>
    <w:rsid w:val="16AA3997"/>
    <w:rsid w:val="16AB3EC2"/>
    <w:rsid w:val="16AC2B31"/>
    <w:rsid w:val="16AC5E91"/>
    <w:rsid w:val="16AE1553"/>
    <w:rsid w:val="16AE28C5"/>
    <w:rsid w:val="16AE750E"/>
    <w:rsid w:val="16AF39B2"/>
    <w:rsid w:val="16B014D8"/>
    <w:rsid w:val="16B03286"/>
    <w:rsid w:val="16B234A2"/>
    <w:rsid w:val="16B3387D"/>
    <w:rsid w:val="16B34B25"/>
    <w:rsid w:val="16B40FC8"/>
    <w:rsid w:val="16B54D41"/>
    <w:rsid w:val="16B70AB9"/>
    <w:rsid w:val="16B80517"/>
    <w:rsid w:val="16B9038D"/>
    <w:rsid w:val="16B965DF"/>
    <w:rsid w:val="16BA4105"/>
    <w:rsid w:val="16BA6D54"/>
    <w:rsid w:val="16BB01E4"/>
    <w:rsid w:val="16BC60CF"/>
    <w:rsid w:val="16BE43E7"/>
    <w:rsid w:val="16BF171B"/>
    <w:rsid w:val="16BF34C9"/>
    <w:rsid w:val="16C254E6"/>
    <w:rsid w:val="16C32FBA"/>
    <w:rsid w:val="16C44F84"/>
    <w:rsid w:val="16C64858"/>
    <w:rsid w:val="16CA7F8A"/>
    <w:rsid w:val="16CC28AA"/>
    <w:rsid w:val="16CC6296"/>
    <w:rsid w:val="16D26FCF"/>
    <w:rsid w:val="16D32FBB"/>
    <w:rsid w:val="16D74CB7"/>
    <w:rsid w:val="16D927DD"/>
    <w:rsid w:val="16DA6555"/>
    <w:rsid w:val="16DB6C70"/>
    <w:rsid w:val="16DC22CD"/>
    <w:rsid w:val="16E15B36"/>
    <w:rsid w:val="16E178E4"/>
    <w:rsid w:val="16E3540A"/>
    <w:rsid w:val="16E41182"/>
    <w:rsid w:val="16E56387"/>
    <w:rsid w:val="16E6314C"/>
    <w:rsid w:val="16E66CA8"/>
    <w:rsid w:val="16E82A20"/>
    <w:rsid w:val="16EA0D76"/>
    <w:rsid w:val="16EA49EA"/>
    <w:rsid w:val="16EB42BE"/>
    <w:rsid w:val="16EE3073"/>
    <w:rsid w:val="16EF0253"/>
    <w:rsid w:val="16F01CA5"/>
    <w:rsid w:val="16F07B27"/>
    <w:rsid w:val="16F16621"/>
    <w:rsid w:val="16F413C5"/>
    <w:rsid w:val="16F72C63"/>
    <w:rsid w:val="16F74821"/>
    <w:rsid w:val="16F86CF6"/>
    <w:rsid w:val="16F94C2D"/>
    <w:rsid w:val="16F969DB"/>
    <w:rsid w:val="16FB6BF7"/>
    <w:rsid w:val="16FC64CC"/>
    <w:rsid w:val="16FE0496"/>
    <w:rsid w:val="16FE2244"/>
    <w:rsid w:val="16FF7D6A"/>
    <w:rsid w:val="17005FBC"/>
    <w:rsid w:val="17011D34"/>
    <w:rsid w:val="17033CFE"/>
    <w:rsid w:val="17037DD1"/>
    <w:rsid w:val="17044DC6"/>
    <w:rsid w:val="1706559C"/>
    <w:rsid w:val="17066928"/>
    <w:rsid w:val="170671B4"/>
    <w:rsid w:val="17067369"/>
    <w:rsid w:val="170813BB"/>
    <w:rsid w:val="17084E70"/>
    <w:rsid w:val="170A6E3A"/>
    <w:rsid w:val="170B2BB3"/>
    <w:rsid w:val="170D06D9"/>
    <w:rsid w:val="170F26A3"/>
    <w:rsid w:val="170F4451"/>
    <w:rsid w:val="171001C9"/>
    <w:rsid w:val="1711641B"/>
    <w:rsid w:val="17123F41"/>
    <w:rsid w:val="17125CEF"/>
    <w:rsid w:val="17163A31"/>
    <w:rsid w:val="17192340"/>
    <w:rsid w:val="171952CF"/>
    <w:rsid w:val="171F21BA"/>
    <w:rsid w:val="17210AD2"/>
    <w:rsid w:val="17214184"/>
    <w:rsid w:val="17231CAA"/>
    <w:rsid w:val="17242CEB"/>
    <w:rsid w:val="17247453"/>
    <w:rsid w:val="17263548"/>
    <w:rsid w:val="172F4AF3"/>
    <w:rsid w:val="172F7CEA"/>
    <w:rsid w:val="1732013F"/>
    <w:rsid w:val="173259E9"/>
    <w:rsid w:val="17345C65"/>
    <w:rsid w:val="17361246"/>
    <w:rsid w:val="173619DD"/>
    <w:rsid w:val="173739A8"/>
    <w:rsid w:val="173914CE"/>
    <w:rsid w:val="1739327C"/>
    <w:rsid w:val="173B3498"/>
    <w:rsid w:val="173E0892"/>
    <w:rsid w:val="17400AAE"/>
    <w:rsid w:val="1740460A"/>
    <w:rsid w:val="1741697B"/>
    <w:rsid w:val="1743234C"/>
    <w:rsid w:val="17463BEB"/>
    <w:rsid w:val="17487240"/>
    <w:rsid w:val="174A36DB"/>
    <w:rsid w:val="174A7237"/>
    <w:rsid w:val="174D665F"/>
    <w:rsid w:val="174F2A9F"/>
    <w:rsid w:val="17514FCE"/>
    <w:rsid w:val="1752258F"/>
    <w:rsid w:val="17527900"/>
    <w:rsid w:val="17544559"/>
    <w:rsid w:val="17546308"/>
    <w:rsid w:val="17555BDC"/>
    <w:rsid w:val="17560E52"/>
    <w:rsid w:val="1759391E"/>
    <w:rsid w:val="175D340E"/>
    <w:rsid w:val="175E69A5"/>
    <w:rsid w:val="17604CAC"/>
    <w:rsid w:val="176302F9"/>
    <w:rsid w:val="1763654B"/>
    <w:rsid w:val="17650515"/>
    <w:rsid w:val="17654071"/>
    <w:rsid w:val="1767428D"/>
    <w:rsid w:val="1768590F"/>
    <w:rsid w:val="176A1687"/>
    <w:rsid w:val="176F4EEF"/>
    <w:rsid w:val="17732C32"/>
    <w:rsid w:val="1774180A"/>
    <w:rsid w:val="177469AA"/>
    <w:rsid w:val="17771FF6"/>
    <w:rsid w:val="17773DA4"/>
    <w:rsid w:val="17797B1C"/>
    <w:rsid w:val="177B1AE6"/>
    <w:rsid w:val="177C13BA"/>
    <w:rsid w:val="177E15D6"/>
    <w:rsid w:val="17800EAB"/>
    <w:rsid w:val="17807639"/>
    <w:rsid w:val="17832749"/>
    <w:rsid w:val="17854713"/>
    <w:rsid w:val="1787048B"/>
    <w:rsid w:val="17875FF8"/>
    <w:rsid w:val="178766DD"/>
    <w:rsid w:val="17877C80"/>
    <w:rsid w:val="17884203"/>
    <w:rsid w:val="17885FB1"/>
    <w:rsid w:val="178865EF"/>
    <w:rsid w:val="17887D5F"/>
    <w:rsid w:val="178A6DBB"/>
    <w:rsid w:val="178B04F8"/>
    <w:rsid w:val="178C3CF3"/>
    <w:rsid w:val="178C5AA1"/>
    <w:rsid w:val="178D1819"/>
    <w:rsid w:val="178D5376"/>
    <w:rsid w:val="178E7A6B"/>
    <w:rsid w:val="178F3488"/>
    <w:rsid w:val="17914E66"/>
    <w:rsid w:val="17935082"/>
    <w:rsid w:val="179670F4"/>
    <w:rsid w:val="17991F6C"/>
    <w:rsid w:val="17996410"/>
    <w:rsid w:val="179B3F36"/>
    <w:rsid w:val="179C380B"/>
    <w:rsid w:val="179D7CAF"/>
    <w:rsid w:val="17A0154D"/>
    <w:rsid w:val="17A50911"/>
    <w:rsid w:val="17A74689"/>
    <w:rsid w:val="17A96653"/>
    <w:rsid w:val="17AA6D72"/>
    <w:rsid w:val="17B1375A"/>
    <w:rsid w:val="17B374D2"/>
    <w:rsid w:val="17B43302"/>
    <w:rsid w:val="17B46DA6"/>
    <w:rsid w:val="17B63073"/>
    <w:rsid w:val="17B9260F"/>
    <w:rsid w:val="17BB6387"/>
    <w:rsid w:val="17BE2920"/>
    <w:rsid w:val="17BE7C25"/>
    <w:rsid w:val="17C074F9"/>
    <w:rsid w:val="17C11489"/>
    <w:rsid w:val="17C23271"/>
    <w:rsid w:val="17C24FEF"/>
    <w:rsid w:val="17C27715"/>
    <w:rsid w:val="17C3523B"/>
    <w:rsid w:val="17C362B8"/>
    <w:rsid w:val="17C36FE9"/>
    <w:rsid w:val="17C92852"/>
    <w:rsid w:val="17CA481C"/>
    <w:rsid w:val="17CC0594"/>
    <w:rsid w:val="17CC2342"/>
    <w:rsid w:val="17D10D96"/>
    <w:rsid w:val="17D15BAA"/>
    <w:rsid w:val="17D2722C"/>
    <w:rsid w:val="17D33D86"/>
    <w:rsid w:val="17D631C0"/>
    <w:rsid w:val="17D66D1D"/>
    <w:rsid w:val="17D7362C"/>
    <w:rsid w:val="17D80CE7"/>
    <w:rsid w:val="17D82A95"/>
    <w:rsid w:val="17D905BB"/>
    <w:rsid w:val="17D96B2F"/>
    <w:rsid w:val="17DE3E23"/>
    <w:rsid w:val="17DF02C7"/>
    <w:rsid w:val="17DF2075"/>
    <w:rsid w:val="17DF42C5"/>
    <w:rsid w:val="17E21B65"/>
    <w:rsid w:val="17E23913"/>
    <w:rsid w:val="17E56F60"/>
    <w:rsid w:val="17EC02EE"/>
    <w:rsid w:val="17EE050A"/>
    <w:rsid w:val="17EE22B8"/>
    <w:rsid w:val="17EF3C3D"/>
    <w:rsid w:val="17F03046"/>
    <w:rsid w:val="17F11DA8"/>
    <w:rsid w:val="17F13B56"/>
    <w:rsid w:val="17F21810"/>
    <w:rsid w:val="17F3167D"/>
    <w:rsid w:val="17F35B20"/>
    <w:rsid w:val="17F453F5"/>
    <w:rsid w:val="17F66569"/>
    <w:rsid w:val="17F673BF"/>
    <w:rsid w:val="17F72AB1"/>
    <w:rsid w:val="17F81389"/>
    <w:rsid w:val="17F92A0B"/>
    <w:rsid w:val="17F953F1"/>
    <w:rsid w:val="17F97934"/>
    <w:rsid w:val="17FA6EAF"/>
    <w:rsid w:val="17FD51E2"/>
    <w:rsid w:val="17FE3FD4"/>
    <w:rsid w:val="1800023D"/>
    <w:rsid w:val="18001FEB"/>
    <w:rsid w:val="18041ADC"/>
    <w:rsid w:val="1804388A"/>
    <w:rsid w:val="18055854"/>
    <w:rsid w:val="18075128"/>
    <w:rsid w:val="180B10BC"/>
    <w:rsid w:val="180D4CD7"/>
    <w:rsid w:val="181066D2"/>
    <w:rsid w:val="181141F9"/>
    <w:rsid w:val="18131D1F"/>
    <w:rsid w:val="18147845"/>
    <w:rsid w:val="181A30AD"/>
    <w:rsid w:val="181B5077"/>
    <w:rsid w:val="181D0DEF"/>
    <w:rsid w:val="1821268E"/>
    <w:rsid w:val="18221F62"/>
    <w:rsid w:val="1824217E"/>
    <w:rsid w:val="18243F2C"/>
    <w:rsid w:val="18273A1C"/>
    <w:rsid w:val="18277578"/>
    <w:rsid w:val="18285ADF"/>
    <w:rsid w:val="18292D6F"/>
    <w:rsid w:val="18297794"/>
    <w:rsid w:val="182A5635"/>
    <w:rsid w:val="182B350C"/>
    <w:rsid w:val="182B52BA"/>
    <w:rsid w:val="182C41CC"/>
    <w:rsid w:val="182C4B8E"/>
    <w:rsid w:val="182E4DAB"/>
    <w:rsid w:val="182F17B2"/>
    <w:rsid w:val="18343965"/>
    <w:rsid w:val="18371EB1"/>
    <w:rsid w:val="183A374F"/>
    <w:rsid w:val="183C74C7"/>
    <w:rsid w:val="183D0B4A"/>
    <w:rsid w:val="183F12A7"/>
    <w:rsid w:val="18420856"/>
    <w:rsid w:val="18455C50"/>
    <w:rsid w:val="18475E6C"/>
    <w:rsid w:val="18493900"/>
    <w:rsid w:val="184B770B"/>
    <w:rsid w:val="184C3483"/>
    <w:rsid w:val="184C5231"/>
    <w:rsid w:val="184C6FDF"/>
    <w:rsid w:val="18506ACF"/>
    <w:rsid w:val="185145F5"/>
    <w:rsid w:val="185537EF"/>
    <w:rsid w:val="185652D7"/>
    <w:rsid w:val="18575DED"/>
    <w:rsid w:val="18581E27"/>
    <w:rsid w:val="18583BD5"/>
    <w:rsid w:val="185A16FC"/>
    <w:rsid w:val="185A28FB"/>
    <w:rsid w:val="185C36C6"/>
    <w:rsid w:val="185D2F9A"/>
    <w:rsid w:val="18622CA6"/>
    <w:rsid w:val="18624A54"/>
    <w:rsid w:val="18626802"/>
    <w:rsid w:val="186407CC"/>
    <w:rsid w:val="1864257A"/>
    <w:rsid w:val="18664544"/>
    <w:rsid w:val="1869193F"/>
    <w:rsid w:val="18695DE3"/>
    <w:rsid w:val="186A697D"/>
    <w:rsid w:val="186B4263"/>
    <w:rsid w:val="186B56B7"/>
    <w:rsid w:val="186D14F0"/>
    <w:rsid w:val="186E51A7"/>
    <w:rsid w:val="186F4074"/>
    <w:rsid w:val="18714C97"/>
    <w:rsid w:val="18716994"/>
    <w:rsid w:val="18716A45"/>
    <w:rsid w:val="18745314"/>
    <w:rsid w:val="187529D9"/>
    <w:rsid w:val="187546F0"/>
    <w:rsid w:val="18787DD4"/>
    <w:rsid w:val="187D188E"/>
    <w:rsid w:val="187D7B07"/>
    <w:rsid w:val="18811059"/>
    <w:rsid w:val="18812545"/>
    <w:rsid w:val="1881312C"/>
    <w:rsid w:val="18814EDA"/>
    <w:rsid w:val="18820C52"/>
    <w:rsid w:val="1887113B"/>
    <w:rsid w:val="1888270D"/>
    <w:rsid w:val="188C387F"/>
    <w:rsid w:val="188D1AD1"/>
    <w:rsid w:val="188D7D23"/>
    <w:rsid w:val="18904AED"/>
    <w:rsid w:val="18910E95"/>
    <w:rsid w:val="18925339"/>
    <w:rsid w:val="18932E60"/>
    <w:rsid w:val="18934C0E"/>
    <w:rsid w:val="18980476"/>
    <w:rsid w:val="18982224"/>
    <w:rsid w:val="189866C8"/>
    <w:rsid w:val="189D5A8C"/>
    <w:rsid w:val="189F33C8"/>
    <w:rsid w:val="18A1557C"/>
    <w:rsid w:val="18A40BC9"/>
    <w:rsid w:val="18A46E1B"/>
    <w:rsid w:val="18A84B5D"/>
    <w:rsid w:val="18AB01A9"/>
    <w:rsid w:val="18AB1F57"/>
    <w:rsid w:val="18AC5756"/>
    <w:rsid w:val="18AE37F5"/>
    <w:rsid w:val="18AF0FDF"/>
    <w:rsid w:val="18B21538"/>
    <w:rsid w:val="18B232E6"/>
    <w:rsid w:val="18B2778A"/>
    <w:rsid w:val="18B47385"/>
    <w:rsid w:val="18B51028"/>
    <w:rsid w:val="18B54B84"/>
    <w:rsid w:val="18B57F73"/>
    <w:rsid w:val="18B74DA0"/>
    <w:rsid w:val="18B76B4E"/>
    <w:rsid w:val="18B90B18"/>
    <w:rsid w:val="18BA4890"/>
    <w:rsid w:val="18BA580C"/>
    <w:rsid w:val="18BB7AA9"/>
    <w:rsid w:val="18BC4164"/>
    <w:rsid w:val="18BC5F12"/>
    <w:rsid w:val="18BD1C8B"/>
    <w:rsid w:val="18BD6004"/>
    <w:rsid w:val="18BF5A03"/>
    <w:rsid w:val="18C272A1"/>
    <w:rsid w:val="18C63235"/>
    <w:rsid w:val="18C9062F"/>
    <w:rsid w:val="18C96881"/>
    <w:rsid w:val="18CB25F9"/>
    <w:rsid w:val="18D07C10"/>
    <w:rsid w:val="18D23988"/>
    <w:rsid w:val="18D25736"/>
    <w:rsid w:val="18D314AE"/>
    <w:rsid w:val="18D3325C"/>
    <w:rsid w:val="18D35D30"/>
    <w:rsid w:val="18D53478"/>
    <w:rsid w:val="18D55226"/>
    <w:rsid w:val="18D71473"/>
    <w:rsid w:val="18D75B41"/>
    <w:rsid w:val="18DA0A8E"/>
    <w:rsid w:val="18DA283C"/>
    <w:rsid w:val="18DA6CE0"/>
    <w:rsid w:val="18DB1BD5"/>
    <w:rsid w:val="18DE057F"/>
    <w:rsid w:val="18DF60A5"/>
    <w:rsid w:val="18E055CE"/>
    <w:rsid w:val="18E14395"/>
    <w:rsid w:val="18E224B7"/>
    <w:rsid w:val="18E25825"/>
    <w:rsid w:val="18E436BB"/>
    <w:rsid w:val="18E5190D"/>
    <w:rsid w:val="18E65685"/>
    <w:rsid w:val="18E75636"/>
    <w:rsid w:val="18E84F59"/>
    <w:rsid w:val="18ED2938"/>
    <w:rsid w:val="18ED431E"/>
    <w:rsid w:val="18F002B2"/>
    <w:rsid w:val="18F03E0E"/>
    <w:rsid w:val="18F25DD8"/>
    <w:rsid w:val="18F36E6F"/>
    <w:rsid w:val="18F4335B"/>
    <w:rsid w:val="18F733EE"/>
    <w:rsid w:val="18FA2EDF"/>
    <w:rsid w:val="18FC6C57"/>
    <w:rsid w:val="18FC7B0D"/>
    <w:rsid w:val="18FE652B"/>
    <w:rsid w:val="18FF4051"/>
    <w:rsid w:val="18FF6F9E"/>
    <w:rsid w:val="19026764"/>
    <w:rsid w:val="19034A2C"/>
    <w:rsid w:val="19037AF3"/>
    <w:rsid w:val="19037E5E"/>
    <w:rsid w:val="19045B0B"/>
    <w:rsid w:val="190478B9"/>
    <w:rsid w:val="19053D5D"/>
    <w:rsid w:val="190653E0"/>
    <w:rsid w:val="19080281"/>
    <w:rsid w:val="190909D0"/>
    <w:rsid w:val="190B6E9A"/>
    <w:rsid w:val="190E2B30"/>
    <w:rsid w:val="19103753"/>
    <w:rsid w:val="19121FD6"/>
    <w:rsid w:val="1912647A"/>
    <w:rsid w:val="19135D94"/>
    <w:rsid w:val="19153875"/>
    <w:rsid w:val="191E02D6"/>
    <w:rsid w:val="191E097B"/>
    <w:rsid w:val="191E6047"/>
    <w:rsid w:val="19202945"/>
    <w:rsid w:val="19205183"/>
    <w:rsid w:val="19212219"/>
    <w:rsid w:val="19232435"/>
    <w:rsid w:val="19241D0A"/>
    <w:rsid w:val="1925224D"/>
    <w:rsid w:val="19297320"/>
    <w:rsid w:val="192B3098"/>
    <w:rsid w:val="192C54AB"/>
    <w:rsid w:val="192D05B0"/>
    <w:rsid w:val="192D5062"/>
    <w:rsid w:val="192D6E10"/>
    <w:rsid w:val="192E75F5"/>
    <w:rsid w:val="1931131D"/>
    <w:rsid w:val="19314B52"/>
    <w:rsid w:val="19324427"/>
    <w:rsid w:val="1934019F"/>
    <w:rsid w:val="193463F1"/>
    <w:rsid w:val="19371A3D"/>
    <w:rsid w:val="19375EE1"/>
    <w:rsid w:val="19377C8F"/>
    <w:rsid w:val="19393A07"/>
    <w:rsid w:val="193975E7"/>
    <w:rsid w:val="193A489A"/>
    <w:rsid w:val="193A6353"/>
    <w:rsid w:val="193C7053"/>
    <w:rsid w:val="193D73B7"/>
    <w:rsid w:val="193F08F1"/>
    <w:rsid w:val="194303E2"/>
    <w:rsid w:val="194523AC"/>
    <w:rsid w:val="19456052"/>
    <w:rsid w:val="19481E9C"/>
    <w:rsid w:val="194859F8"/>
    <w:rsid w:val="194A5C14"/>
    <w:rsid w:val="194B373A"/>
    <w:rsid w:val="194B7296"/>
    <w:rsid w:val="194D74B2"/>
    <w:rsid w:val="194F322A"/>
    <w:rsid w:val="194F6D87"/>
    <w:rsid w:val="19551028"/>
    <w:rsid w:val="19573E8D"/>
    <w:rsid w:val="1958509D"/>
    <w:rsid w:val="195919B3"/>
    <w:rsid w:val="195963AF"/>
    <w:rsid w:val="195B1BCF"/>
    <w:rsid w:val="195B4EC8"/>
    <w:rsid w:val="195C76F5"/>
    <w:rsid w:val="19600F94"/>
    <w:rsid w:val="19612E6F"/>
    <w:rsid w:val="19636CD6"/>
    <w:rsid w:val="19642A6B"/>
    <w:rsid w:val="196565AA"/>
    <w:rsid w:val="1968609A"/>
    <w:rsid w:val="196A0064"/>
    <w:rsid w:val="196A343C"/>
    <w:rsid w:val="196A3BC0"/>
    <w:rsid w:val="196A68DD"/>
    <w:rsid w:val="196F43D6"/>
    <w:rsid w:val="196F7429"/>
    <w:rsid w:val="19704F4F"/>
    <w:rsid w:val="19706CFD"/>
    <w:rsid w:val="1971007E"/>
    <w:rsid w:val="19713BDF"/>
    <w:rsid w:val="19744A3F"/>
    <w:rsid w:val="197467ED"/>
    <w:rsid w:val="197902A7"/>
    <w:rsid w:val="197B53D3"/>
    <w:rsid w:val="197C5E5D"/>
    <w:rsid w:val="19800C82"/>
    <w:rsid w:val="198253AE"/>
    <w:rsid w:val="19834C82"/>
    <w:rsid w:val="19836A30"/>
    <w:rsid w:val="19856003"/>
    <w:rsid w:val="19867E30"/>
    <w:rsid w:val="19874772"/>
    <w:rsid w:val="19882298"/>
    <w:rsid w:val="198917FF"/>
    <w:rsid w:val="198A6011"/>
    <w:rsid w:val="198D1C77"/>
    <w:rsid w:val="198F1879"/>
    <w:rsid w:val="198F3627"/>
    <w:rsid w:val="1990114D"/>
    <w:rsid w:val="19946E8F"/>
    <w:rsid w:val="19956C86"/>
    <w:rsid w:val="19960E59"/>
    <w:rsid w:val="199649B5"/>
    <w:rsid w:val="1997072D"/>
    <w:rsid w:val="199926F8"/>
    <w:rsid w:val="199944A6"/>
    <w:rsid w:val="19996254"/>
    <w:rsid w:val="199B1FCC"/>
    <w:rsid w:val="19A0084D"/>
    <w:rsid w:val="19A370D2"/>
    <w:rsid w:val="19A8293B"/>
    <w:rsid w:val="19AB6941"/>
    <w:rsid w:val="19AF1F1B"/>
    <w:rsid w:val="19B1359D"/>
    <w:rsid w:val="19B17A41"/>
    <w:rsid w:val="19B250D3"/>
    <w:rsid w:val="19B27315"/>
    <w:rsid w:val="19B60738"/>
    <w:rsid w:val="19B63A54"/>
    <w:rsid w:val="19B63B74"/>
    <w:rsid w:val="19B72B7E"/>
    <w:rsid w:val="19B906A4"/>
    <w:rsid w:val="19B94B48"/>
    <w:rsid w:val="19BB266E"/>
    <w:rsid w:val="19BB441C"/>
    <w:rsid w:val="19BC6185"/>
    <w:rsid w:val="19BD0194"/>
    <w:rsid w:val="19BD21C8"/>
    <w:rsid w:val="19BE3F0C"/>
    <w:rsid w:val="19BF7536"/>
    <w:rsid w:val="19BF76EB"/>
    <w:rsid w:val="19C05549"/>
    <w:rsid w:val="19C06268"/>
    <w:rsid w:val="19C07C84"/>
    <w:rsid w:val="19C31523"/>
    <w:rsid w:val="19C57049"/>
    <w:rsid w:val="19C72DC1"/>
    <w:rsid w:val="19C808E7"/>
    <w:rsid w:val="19CC6629"/>
    <w:rsid w:val="19CD710A"/>
    <w:rsid w:val="19D13C3F"/>
    <w:rsid w:val="19D159ED"/>
    <w:rsid w:val="19D43730"/>
    <w:rsid w:val="19D61256"/>
    <w:rsid w:val="19D83220"/>
    <w:rsid w:val="19D84FCE"/>
    <w:rsid w:val="19D90D46"/>
    <w:rsid w:val="19D96F98"/>
    <w:rsid w:val="19DC3C64"/>
    <w:rsid w:val="19DC4392"/>
    <w:rsid w:val="19DE010A"/>
    <w:rsid w:val="19DE635C"/>
    <w:rsid w:val="19E25E4D"/>
    <w:rsid w:val="19E32A71"/>
    <w:rsid w:val="19E5593D"/>
    <w:rsid w:val="19E75211"/>
    <w:rsid w:val="19EC0A79"/>
    <w:rsid w:val="19EC6CCB"/>
    <w:rsid w:val="19ED2D17"/>
    <w:rsid w:val="19ED659F"/>
    <w:rsid w:val="19EE2A43"/>
    <w:rsid w:val="19F3005A"/>
    <w:rsid w:val="19F33BB6"/>
    <w:rsid w:val="19F4792E"/>
    <w:rsid w:val="19F53DD2"/>
    <w:rsid w:val="19F618F8"/>
    <w:rsid w:val="19F811CC"/>
    <w:rsid w:val="19FB2A6A"/>
    <w:rsid w:val="19FB6F0E"/>
    <w:rsid w:val="19FD67E3"/>
    <w:rsid w:val="19FE7778"/>
    <w:rsid w:val="1A051B3B"/>
    <w:rsid w:val="1A055E0A"/>
    <w:rsid w:val="1A0C4C78"/>
    <w:rsid w:val="1A0D4AD8"/>
    <w:rsid w:val="1A0E50CF"/>
    <w:rsid w:val="1A0E6C42"/>
    <w:rsid w:val="1A0F7B3F"/>
    <w:rsid w:val="1A11228E"/>
    <w:rsid w:val="1A116732"/>
    <w:rsid w:val="1A134258"/>
    <w:rsid w:val="1A1558FF"/>
    <w:rsid w:val="1A1A3838"/>
    <w:rsid w:val="1A1B0030"/>
    <w:rsid w:val="1A1D50D7"/>
    <w:rsid w:val="1A1E49AB"/>
    <w:rsid w:val="1A2024D1"/>
    <w:rsid w:val="1A204BC7"/>
    <w:rsid w:val="1A206975"/>
    <w:rsid w:val="1A2226ED"/>
    <w:rsid w:val="1A22281A"/>
    <w:rsid w:val="1A226249"/>
    <w:rsid w:val="1A240213"/>
    <w:rsid w:val="1A241393"/>
    <w:rsid w:val="1A2570E8"/>
    <w:rsid w:val="1A260682"/>
    <w:rsid w:val="1A275C64"/>
    <w:rsid w:val="1A295829"/>
    <w:rsid w:val="1A2975D8"/>
    <w:rsid w:val="1A2A15A2"/>
    <w:rsid w:val="1A2C0FB5"/>
    <w:rsid w:val="1A312930"/>
    <w:rsid w:val="1A32038A"/>
    <w:rsid w:val="1A324E27"/>
    <w:rsid w:val="1A332204"/>
    <w:rsid w:val="1A3413A4"/>
    <w:rsid w:val="1A3441CE"/>
    <w:rsid w:val="1A345F7C"/>
    <w:rsid w:val="1A361CF4"/>
    <w:rsid w:val="1A393593"/>
    <w:rsid w:val="1A3E5F99"/>
    <w:rsid w:val="1A3F504D"/>
    <w:rsid w:val="1A400DC5"/>
    <w:rsid w:val="1A4245C3"/>
    <w:rsid w:val="1A442663"/>
    <w:rsid w:val="1A450189"/>
    <w:rsid w:val="1A46462D"/>
    <w:rsid w:val="1A497C7A"/>
    <w:rsid w:val="1A4D518E"/>
    <w:rsid w:val="1A5003B0"/>
    <w:rsid w:val="1A530AF8"/>
    <w:rsid w:val="1A535C16"/>
    <w:rsid w:val="1A5403CD"/>
    <w:rsid w:val="1A554F3D"/>
    <w:rsid w:val="1A584361"/>
    <w:rsid w:val="1A5D54D3"/>
    <w:rsid w:val="1A5F56EF"/>
    <w:rsid w:val="1A633C55"/>
    <w:rsid w:val="1A643763"/>
    <w:rsid w:val="1A646862"/>
    <w:rsid w:val="1A654388"/>
    <w:rsid w:val="1A6920CA"/>
    <w:rsid w:val="1A692D3D"/>
    <w:rsid w:val="1A6B5E42"/>
    <w:rsid w:val="1A6C1BBA"/>
    <w:rsid w:val="1A6C3968"/>
    <w:rsid w:val="1A6E0D68"/>
    <w:rsid w:val="1A6F1C09"/>
    <w:rsid w:val="1A7171D0"/>
    <w:rsid w:val="1A7647E7"/>
    <w:rsid w:val="1A766595"/>
    <w:rsid w:val="1A7867B1"/>
    <w:rsid w:val="1A7A42D7"/>
    <w:rsid w:val="1A7A58E5"/>
    <w:rsid w:val="1A7D3DC7"/>
    <w:rsid w:val="1A7F1CED"/>
    <w:rsid w:val="1A8011C2"/>
    <w:rsid w:val="1A815802"/>
    <w:rsid w:val="1A8213DE"/>
    <w:rsid w:val="1A842ED3"/>
    <w:rsid w:val="1A845156"/>
    <w:rsid w:val="1A846F04"/>
    <w:rsid w:val="1A864A2A"/>
    <w:rsid w:val="1A89182A"/>
    <w:rsid w:val="1A8A3DEE"/>
    <w:rsid w:val="1A8E7D82"/>
    <w:rsid w:val="1A9058A9"/>
    <w:rsid w:val="1A9544D2"/>
    <w:rsid w:val="1A954C6D"/>
    <w:rsid w:val="1A9609E5"/>
    <w:rsid w:val="1A966A95"/>
    <w:rsid w:val="1A98475D"/>
    <w:rsid w:val="1A9C424D"/>
    <w:rsid w:val="1A9C5527"/>
    <w:rsid w:val="1A9C791D"/>
    <w:rsid w:val="1A9E7E47"/>
    <w:rsid w:val="1A9F5AEC"/>
    <w:rsid w:val="1AA11864"/>
    <w:rsid w:val="1AA1530A"/>
    <w:rsid w:val="1AA2738A"/>
    <w:rsid w:val="1AA41354"/>
    <w:rsid w:val="1AA43102"/>
    <w:rsid w:val="1AA43CB9"/>
    <w:rsid w:val="1AA475A6"/>
    <w:rsid w:val="1AA9696A"/>
    <w:rsid w:val="1AAB244B"/>
    <w:rsid w:val="1AAB4490"/>
    <w:rsid w:val="1AAD4D6B"/>
    <w:rsid w:val="1AAD6307"/>
    <w:rsid w:val="1AAE35AE"/>
    <w:rsid w:val="1AAE5D2F"/>
    <w:rsid w:val="1AAE793C"/>
    <w:rsid w:val="1AB0225C"/>
    <w:rsid w:val="1AB44E86"/>
    <w:rsid w:val="1AB53561"/>
    <w:rsid w:val="1AB5530F"/>
    <w:rsid w:val="1AB65F16"/>
    <w:rsid w:val="1AB71087"/>
    <w:rsid w:val="1AB772D9"/>
    <w:rsid w:val="1AB8095B"/>
    <w:rsid w:val="1AB86BAD"/>
    <w:rsid w:val="1AB91166"/>
    <w:rsid w:val="1ABA0AB0"/>
    <w:rsid w:val="1ABA0B77"/>
    <w:rsid w:val="1ABD2416"/>
    <w:rsid w:val="1ABD41C4"/>
    <w:rsid w:val="1ABD5F72"/>
    <w:rsid w:val="1ABE4E06"/>
    <w:rsid w:val="1ABF1CEA"/>
    <w:rsid w:val="1ABF7F3C"/>
    <w:rsid w:val="1AC15A62"/>
    <w:rsid w:val="1AC25B01"/>
    <w:rsid w:val="1AC47300"/>
    <w:rsid w:val="1AC474F7"/>
    <w:rsid w:val="1AC612CA"/>
    <w:rsid w:val="1AC75042"/>
    <w:rsid w:val="1AC90DBB"/>
    <w:rsid w:val="1AC92B69"/>
    <w:rsid w:val="1ACB68E1"/>
    <w:rsid w:val="1ACB6E64"/>
    <w:rsid w:val="1ACC1784"/>
    <w:rsid w:val="1ACC4407"/>
    <w:rsid w:val="1AD0039B"/>
    <w:rsid w:val="1AD432DB"/>
    <w:rsid w:val="1AD52321"/>
    <w:rsid w:val="1AD559B1"/>
    <w:rsid w:val="1AD75407"/>
    <w:rsid w:val="1AD86198"/>
    <w:rsid w:val="1ADC289C"/>
    <w:rsid w:val="1ADE294C"/>
    <w:rsid w:val="1ADF413A"/>
    <w:rsid w:val="1AE23C2A"/>
    <w:rsid w:val="1AE259D8"/>
    <w:rsid w:val="1AE43EB9"/>
    <w:rsid w:val="1AE45BF4"/>
    <w:rsid w:val="1AE8166C"/>
    <w:rsid w:val="1AE92CAB"/>
    <w:rsid w:val="1AEA675D"/>
    <w:rsid w:val="1AEC6857"/>
    <w:rsid w:val="1AF2200F"/>
    <w:rsid w:val="1AF37BE5"/>
    <w:rsid w:val="1AF51BB0"/>
    <w:rsid w:val="1AF520D1"/>
    <w:rsid w:val="1AF5570C"/>
    <w:rsid w:val="1AF71484"/>
    <w:rsid w:val="1AF75928"/>
    <w:rsid w:val="1AF776D6"/>
    <w:rsid w:val="1AF96485"/>
    <w:rsid w:val="1AFC2F3E"/>
    <w:rsid w:val="1AFC4CEC"/>
    <w:rsid w:val="1AFE6CB6"/>
    <w:rsid w:val="1AFF2A2E"/>
    <w:rsid w:val="1B010554"/>
    <w:rsid w:val="1B02285F"/>
    <w:rsid w:val="1B0342CC"/>
    <w:rsid w:val="1B043BA1"/>
    <w:rsid w:val="1B063DBD"/>
    <w:rsid w:val="1B065B6B"/>
    <w:rsid w:val="1B067919"/>
    <w:rsid w:val="1B083691"/>
    <w:rsid w:val="1B0911B7"/>
    <w:rsid w:val="1B0B373B"/>
    <w:rsid w:val="1B0D514B"/>
    <w:rsid w:val="1B0E45B3"/>
    <w:rsid w:val="1B0E4A1F"/>
    <w:rsid w:val="1B0F0EC3"/>
    <w:rsid w:val="1B0F63F2"/>
    <w:rsid w:val="1B100797"/>
    <w:rsid w:val="1B102545"/>
    <w:rsid w:val="1B122762"/>
    <w:rsid w:val="1B140288"/>
    <w:rsid w:val="1B14057B"/>
    <w:rsid w:val="1B1464DA"/>
    <w:rsid w:val="1B15245C"/>
    <w:rsid w:val="1B154000"/>
    <w:rsid w:val="1B184ECE"/>
    <w:rsid w:val="1B193AF0"/>
    <w:rsid w:val="1B1A33C4"/>
    <w:rsid w:val="1B1A7868"/>
    <w:rsid w:val="1B1C713C"/>
    <w:rsid w:val="1B1F6C2C"/>
    <w:rsid w:val="1B214753"/>
    <w:rsid w:val="1B222279"/>
    <w:rsid w:val="1B23480E"/>
    <w:rsid w:val="1B244243"/>
    <w:rsid w:val="1B252495"/>
    <w:rsid w:val="1B291859"/>
    <w:rsid w:val="1B2A7AAB"/>
    <w:rsid w:val="1B2B3823"/>
    <w:rsid w:val="1B2C3630"/>
    <w:rsid w:val="1B2C6201"/>
    <w:rsid w:val="1B322765"/>
    <w:rsid w:val="1B324BB2"/>
    <w:rsid w:val="1B324C57"/>
    <w:rsid w:val="1B334486"/>
    <w:rsid w:val="1B351FAC"/>
    <w:rsid w:val="1B3721C8"/>
    <w:rsid w:val="1B373F96"/>
    <w:rsid w:val="1B397C3B"/>
    <w:rsid w:val="1B3A3A66"/>
    <w:rsid w:val="1B3B1CB8"/>
    <w:rsid w:val="1B3E3557"/>
    <w:rsid w:val="1B4117FA"/>
    <w:rsid w:val="1B4147A3"/>
    <w:rsid w:val="1B430B6D"/>
    <w:rsid w:val="1B4346C9"/>
    <w:rsid w:val="1B440441"/>
    <w:rsid w:val="1B4545CD"/>
    <w:rsid w:val="1B4548E5"/>
    <w:rsid w:val="1B4641B9"/>
    <w:rsid w:val="1B486183"/>
    <w:rsid w:val="1B487F31"/>
    <w:rsid w:val="1B4A1EFB"/>
    <w:rsid w:val="1B4B17D0"/>
    <w:rsid w:val="1B4D6C7B"/>
    <w:rsid w:val="1B527002"/>
    <w:rsid w:val="1B530684"/>
    <w:rsid w:val="1B544B28"/>
    <w:rsid w:val="1B5543FC"/>
    <w:rsid w:val="1B574618"/>
    <w:rsid w:val="1B577DA2"/>
    <w:rsid w:val="1B5865B3"/>
    <w:rsid w:val="1B590390"/>
    <w:rsid w:val="1B5C39DD"/>
    <w:rsid w:val="1B612DA1"/>
    <w:rsid w:val="1B6331B7"/>
    <w:rsid w:val="1B636B19"/>
    <w:rsid w:val="1B642891"/>
    <w:rsid w:val="1B652E0B"/>
    <w:rsid w:val="1B66485B"/>
    <w:rsid w:val="1B6805D3"/>
    <w:rsid w:val="1B684130"/>
    <w:rsid w:val="1B6A434C"/>
    <w:rsid w:val="1B6A60FA"/>
    <w:rsid w:val="1B6B1E72"/>
    <w:rsid w:val="1B6B3C20"/>
    <w:rsid w:val="1B6D5BEA"/>
    <w:rsid w:val="1B6F0B84"/>
    <w:rsid w:val="1B6F1962"/>
    <w:rsid w:val="1B6F54BE"/>
    <w:rsid w:val="1B7075B6"/>
    <w:rsid w:val="1B734D5C"/>
    <w:rsid w:val="1B746F78"/>
    <w:rsid w:val="1B762CF0"/>
    <w:rsid w:val="1B7927E1"/>
    <w:rsid w:val="1B7B0307"/>
    <w:rsid w:val="1B7C407F"/>
    <w:rsid w:val="1B7E7DF7"/>
    <w:rsid w:val="1B80591D"/>
    <w:rsid w:val="1B8076CB"/>
    <w:rsid w:val="1B811695"/>
    <w:rsid w:val="1B811858"/>
    <w:rsid w:val="1B835D4B"/>
    <w:rsid w:val="1B8371BB"/>
    <w:rsid w:val="1B882A24"/>
    <w:rsid w:val="1B8847D2"/>
    <w:rsid w:val="1B903686"/>
    <w:rsid w:val="1B965141"/>
    <w:rsid w:val="1B966EEF"/>
    <w:rsid w:val="1B970EB9"/>
    <w:rsid w:val="1B974A15"/>
    <w:rsid w:val="1B99078D"/>
    <w:rsid w:val="1B99253B"/>
    <w:rsid w:val="1B9C1031"/>
    <w:rsid w:val="1B9C64CF"/>
    <w:rsid w:val="1B9D1AF2"/>
    <w:rsid w:val="1B9E2247"/>
    <w:rsid w:val="1B9E5DA3"/>
    <w:rsid w:val="1B9F38C9"/>
    <w:rsid w:val="1B9F3AB2"/>
    <w:rsid w:val="1BA17641"/>
    <w:rsid w:val="1BA2295D"/>
    <w:rsid w:val="1BA37C6B"/>
    <w:rsid w:val="1BAB0A8A"/>
    <w:rsid w:val="1BAB226E"/>
    <w:rsid w:val="1BAC5F55"/>
    <w:rsid w:val="1BAF1D5E"/>
    <w:rsid w:val="1BB2184F"/>
    <w:rsid w:val="1BB630ED"/>
    <w:rsid w:val="1BB67591"/>
    <w:rsid w:val="1BB76E65"/>
    <w:rsid w:val="1BBB4BA7"/>
    <w:rsid w:val="1BBB6955"/>
    <w:rsid w:val="1BBB7479"/>
    <w:rsid w:val="1BBD091F"/>
    <w:rsid w:val="1BBE1FA1"/>
    <w:rsid w:val="1BC51582"/>
    <w:rsid w:val="1BC7354C"/>
    <w:rsid w:val="1BC77B3D"/>
    <w:rsid w:val="1BC872C4"/>
    <w:rsid w:val="1BCA2744"/>
    <w:rsid w:val="1BCA2C1F"/>
    <w:rsid w:val="1BCD6688"/>
    <w:rsid w:val="1BCF41AF"/>
    <w:rsid w:val="1BD17F27"/>
    <w:rsid w:val="1BD712B5"/>
    <w:rsid w:val="1BD96DDB"/>
    <w:rsid w:val="1BDB2463"/>
    <w:rsid w:val="1BDD4B1E"/>
    <w:rsid w:val="1BDE43F2"/>
    <w:rsid w:val="1BE22134"/>
    <w:rsid w:val="1BE22336"/>
    <w:rsid w:val="1BE55780"/>
    <w:rsid w:val="1BE60CB7"/>
    <w:rsid w:val="1BE614F8"/>
    <w:rsid w:val="1BE7687B"/>
    <w:rsid w:val="1BE834C2"/>
    <w:rsid w:val="1BE8760C"/>
    <w:rsid w:val="1BE96AFB"/>
    <w:rsid w:val="1BEA548C"/>
    <w:rsid w:val="1BEC2FB3"/>
    <w:rsid w:val="1BEF65FF"/>
    <w:rsid w:val="1BF14125"/>
    <w:rsid w:val="1BF34341"/>
    <w:rsid w:val="1BF43C15"/>
    <w:rsid w:val="1BF754B3"/>
    <w:rsid w:val="1BF7797D"/>
    <w:rsid w:val="1BF81957"/>
    <w:rsid w:val="1BF9122C"/>
    <w:rsid w:val="1BF956CF"/>
    <w:rsid w:val="1BFC3D8A"/>
    <w:rsid w:val="1BFD0D1C"/>
    <w:rsid w:val="1BFD6F6E"/>
    <w:rsid w:val="1BFE2CE6"/>
    <w:rsid w:val="1C0025BA"/>
    <w:rsid w:val="1C026332"/>
    <w:rsid w:val="1C055E22"/>
    <w:rsid w:val="1C057BD0"/>
    <w:rsid w:val="1C071B9A"/>
    <w:rsid w:val="1C080C3D"/>
    <w:rsid w:val="1C081480"/>
    <w:rsid w:val="1C0954E1"/>
    <w:rsid w:val="1C0A168B"/>
    <w:rsid w:val="1C0C026A"/>
    <w:rsid w:val="1C0C5403"/>
    <w:rsid w:val="1C0D4CD7"/>
    <w:rsid w:val="1C0E21DE"/>
    <w:rsid w:val="1C112A19"/>
    <w:rsid w:val="1C1222ED"/>
    <w:rsid w:val="1C136791"/>
    <w:rsid w:val="1C142509"/>
    <w:rsid w:val="1C146065"/>
    <w:rsid w:val="1C16002F"/>
    <w:rsid w:val="1C166281"/>
    <w:rsid w:val="1C185B56"/>
    <w:rsid w:val="1C19367C"/>
    <w:rsid w:val="1C1B5646"/>
    <w:rsid w:val="1C1B73F4"/>
    <w:rsid w:val="1C207072"/>
    <w:rsid w:val="1C232085"/>
    <w:rsid w:val="1C2362A8"/>
    <w:rsid w:val="1C236647"/>
    <w:rsid w:val="1C24274C"/>
    <w:rsid w:val="1C276B8E"/>
    <w:rsid w:val="1C2C33AF"/>
    <w:rsid w:val="1C316C17"/>
    <w:rsid w:val="1C330F36"/>
    <w:rsid w:val="1C33473D"/>
    <w:rsid w:val="1C3404B6"/>
    <w:rsid w:val="1C365FDC"/>
    <w:rsid w:val="1C3861F8"/>
    <w:rsid w:val="1C387FA6"/>
    <w:rsid w:val="1C3B1844"/>
    <w:rsid w:val="1C3B5CE8"/>
    <w:rsid w:val="1C3D736A"/>
    <w:rsid w:val="1C3E30E2"/>
    <w:rsid w:val="1C3E5861"/>
    <w:rsid w:val="1C3F578D"/>
    <w:rsid w:val="1C4015CF"/>
    <w:rsid w:val="1C4049E1"/>
    <w:rsid w:val="1C406E5A"/>
    <w:rsid w:val="1C4133A8"/>
    <w:rsid w:val="1C415954"/>
    <w:rsid w:val="1C420E24"/>
    <w:rsid w:val="1C444B9D"/>
    <w:rsid w:val="1C4526C3"/>
    <w:rsid w:val="1C454471"/>
    <w:rsid w:val="1C4921B3"/>
    <w:rsid w:val="1C4A1A87"/>
    <w:rsid w:val="1C4A6833"/>
    <w:rsid w:val="1C4B7F3D"/>
    <w:rsid w:val="1C4C3A51"/>
    <w:rsid w:val="1C4E1577"/>
    <w:rsid w:val="1C4E2785"/>
    <w:rsid w:val="1C4E5A1B"/>
    <w:rsid w:val="1C4E71BE"/>
    <w:rsid w:val="1C4F50A5"/>
    <w:rsid w:val="1C511068"/>
    <w:rsid w:val="1C512E16"/>
    <w:rsid w:val="1C5172BA"/>
    <w:rsid w:val="1C527C03"/>
    <w:rsid w:val="1C533032"/>
    <w:rsid w:val="1C5446B4"/>
    <w:rsid w:val="1C550B58"/>
    <w:rsid w:val="1C5A38F9"/>
    <w:rsid w:val="1C5A616E"/>
    <w:rsid w:val="1C5B3C94"/>
    <w:rsid w:val="1C5D5C5E"/>
    <w:rsid w:val="1C5D7A0C"/>
    <w:rsid w:val="1C5E0883"/>
    <w:rsid w:val="1C5E4627"/>
    <w:rsid w:val="1C5F19D6"/>
    <w:rsid w:val="1C5F3784"/>
    <w:rsid w:val="1C623275"/>
    <w:rsid w:val="1C640D9B"/>
    <w:rsid w:val="1C654B13"/>
    <w:rsid w:val="1C6714C6"/>
    <w:rsid w:val="1C6A3ED7"/>
    <w:rsid w:val="1C6B037B"/>
    <w:rsid w:val="1C6B4699"/>
    <w:rsid w:val="1C6C2EAA"/>
    <w:rsid w:val="1C710E65"/>
    <w:rsid w:val="1C7237A6"/>
    <w:rsid w:val="1C730FDE"/>
    <w:rsid w:val="1C744D56"/>
    <w:rsid w:val="1C766D20"/>
    <w:rsid w:val="1C782A98"/>
    <w:rsid w:val="1C7859F2"/>
    <w:rsid w:val="1C7B4336"/>
    <w:rsid w:val="1C7D3C0B"/>
    <w:rsid w:val="1C7F15B3"/>
    <w:rsid w:val="1C7F5BD5"/>
    <w:rsid w:val="1C8101E5"/>
    <w:rsid w:val="1C821221"/>
    <w:rsid w:val="1C844F99"/>
    <w:rsid w:val="1C856F63"/>
    <w:rsid w:val="1C8651B5"/>
    <w:rsid w:val="1C895236"/>
    <w:rsid w:val="1C8B0F3C"/>
    <w:rsid w:val="1C8D0286"/>
    <w:rsid w:val="1C8D6788"/>
    <w:rsid w:val="1C9123A9"/>
    <w:rsid w:val="1C92116A"/>
    <w:rsid w:val="1C940F54"/>
    <w:rsid w:val="1C947772"/>
    <w:rsid w:val="1C9553F8"/>
    <w:rsid w:val="1C962F1E"/>
    <w:rsid w:val="1C980A44"/>
    <w:rsid w:val="1C99656B"/>
    <w:rsid w:val="1C9D42AD"/>
    <w:rsid w:val="1CA034BD"/>
    <w:rsid w:val="1CA122D1"/>
    <w:rsid w:val="1CA218C3"/>
    <w:rsid w:val="1CA301E4"/>
    <w:rsid w:val="1CA53161"/>
    <w:rsid w:val="1CA64228"/>
    <w:rsid w:val="1CA94A00"/>
    <w:rsid w:val="1CAA0778"/>
    <w:rsid w:val="1CAB1D11"/>
    <w:rsid w:val="1CAB69CA"/>
    <w:rsid w:val="1CAE0268"/>
    <w:rsid w:val="1CAE64BA"/>
    <w:rsid w:val="1CAF6F51"/>
    <w:rsid w:val="1CB33AD0"/>
    <w:rsid w:val="1CB6536F"/>
    <w:rsid w:val="1CB6711D"/>
    <w:rsid w:val="1CB82E95"/>
    <w:rsid w:val="1CB87339"/>
    <w:rsid w:val="1CBA6C35"/>
    <w:rsid w:val="1CBB2985"/>
    <w:rsid w:val="1CBC0BD7"/>
    <w:rsid w:val="1CBE3199"/>
    <w:rsid w:val="1CBF2475"/>
    <w:rsid w:val="1CBF4223"/>
    <w:rsid w:val="1CC01D49"/>
    <w:rsid w:val="1CC161ED"/>
    <w:rsid w:val="1CC25AC1"/>
    <w:rsid w:val="1CC41839"/>
    <w:rsid w:val="1CC61A56"/>
    <w:rsid w:val="1CC730D8"/>
    <w:rsid w:val="1CC7757C"/>
    <w:rsid w:val="1CC82F84"/>
    <w:rsid w:val="1CCB2BC8"/>
    <w:rsid w:val="1CCB706C"/>
    <w:rsid w:val="1CCE4466"/>
    <w:rsid w:val="1CD12E20"/>
    <w:rsid w:val="1CD35F20"/>
    <w:rsid w:val="1CD46F6C"/>
    <w:rsid w:val="1CD53A47"/>
    <w:rsid w:val="1CD777BF"/>
    <w:rsid w:val="1CD852E5"/>
    <w:rsid w:val="1CDA72AF"/>
    <w:rsid w:val="1CE04199"/>
    <w:rsid w:val="1CE05C7B"/>
    <w:rsid w:val="1CE27F12"/>
    <w:rsid w:val="1CE43C8A"/>
    <w:rsid w:val="1CE86381"/>
    <w:rsid w:val="1CE912A0"/>
    <w:rsid w:val="1CED6FE2"/>
    <w:rsid w:val="1CEE2D5A"/>
    <w:rsid w:val="1CF00880"/>
    <w:rsid w:val="1CF60711"/>
    <w:rsid w:val="1CF85987"/>
    <w:rsid w:val="1CF90066"/>
    <w:rsid w:val="1CFC7225"/>
    <w:rsid w:val="1CFD2F9D"/>
    <w:rsid w:val="1CFD4D4B"/>
    <w:rsid w:val="1CFE11EF"/>
    <w:rsid w:val="1CFF0AC4"/>
    <w:rsid w:val="1CFF1447"/>
    <w:rsid w:val="1D033BA9"/>
    <w:rsid w:val="1D062764"/>
    <w:rsid w:val="1D085BCA"/>
    <w:rsid w:val="1D0936F0"/>
    <w:rsid w:val="1D0B25E5"/>
    <w:rsid w:val="1D0B56BA"/>
    <w:rsid w:val="1D0D3DDA"/>
    <w:rsid w:val="1D0D796C"/>
    <w:rsid w:val="1D0E0D07"/>
    <w:rsid w:val="1D1327C1"/>
    <w:rsid w:val="1D13631D"/>
    <w:rsid w:val="1D137EB6"/>
    <w:rsid w:val="1D1735F7"/>
    <w:rsid w:val="1D17405F"/>
    <w:rsid w:val="1D181B85"/>
    <w:rsid w:val="1D187DD7"/>
    <w:rsid w:val="1D1A58FD"/>
    <w:rsid w:val="1D1A7363"/>
    <w:rsid w:val="1D1E53EE"/>
    <w:rsid w:val="1D1F4CC2"/>
    <w:rsid w:val="1D207523"/>
    <w:rsid w:val="1D216C8C"/>
    <w:rsid w:val="1D2247B2"/>
    <w:rsid w:val="1D230C56"/>
    <w:rsid w:val="1D24052A"/>
    <w:rsid w:val="1D2642A2"/>
    <w:rsid w:val="1D266050"/>
    <w:rsid w:val="1D271DC8"/>
    <w:rsid w:val="1D28001A"/>
    <w:rsid w:val="1D2D3883"/>
    <w:rsid w:val="1D2D73DF"/>
    <w:rsid w:val="1D2F37BB"/>
    <w:rsid w:val="1D3369BF"/>
    <w:rsid w:val="1D352737"/>
    <w:rsid w:val="1D37025D"/>
    <w:rsid w:val="1D3A1AFC"/>
    <w:rsid w:val="1D3C55BB"/>
    <w:rsid w:val="1D3D6A4B"/>
    <w:rsid w:val="1D3E7EDB"/>
    <w:rsid w:val="1D41685C"/>
    <w:rsid w:val="1D4247B4"/>
    <w:rsid w:val="1D436C02"/>
    <w:rsid w:val="1D440BCC"/>
    <w:rsid w:val="1D445EF1"/>
    <w:rsid w:val="1D4666F2"/>
    <w:rsid w:val="1D491D3F"/>
    <w:rsid w:val="1D4B5AB7"/>
    <w:rsid w:val="1D4C4F9D"/>
    <w:rsid w:val="1D4C7A82"/>
    <w:rsid w:val="1D4F1A4B"/>
    <w:rsid w:val="1D5042C5"/>
    <w:rsid w:val="1D5412D8"/>
    <w:rsid w:val="1D552DD9"/>
    <w:rsid w:val="1D561137"/>
    <w:rsid w:val="1D5978A1"/>
    <w:rsid w:val="1D5A219E"/>
    <w:rsid w:val="1D5B7403"/>
    <w:rsid w:val="1D5C5F16"/>
    <w:rsid w:val="1D5E1C8E"/>
    <w:rsid w:val="1D5E3A3C"/>
    <w:rsid w:val="1D5F1562"/>
    <w:rsid w:val="1D5F77B4"/>
    <w:rsid w:val="1D6272D6"/>
    <w:rsid w:val="1D632E00"/>
    <w:rsid w:val="1D6372A4"/>
    <w:rsid w:val="1D6628F1"/>
    <w:rsid w:val="1D6848BB"/>
    <w:rsid w:val="1D69418F"/>
    <w:rsid w:val="1D6B6159"/>
    <w:rsid w:val="1D6B7F07"/>
    <w:rsid w:val="1D6D3C7F"/>
    <w:rsid w:val="1D6F3E9B"/>
    <w:rsid w:val="1D725739"/>
    <w:rsid w:val="1D74500E"/>
    <w:rsid w:val="1D76522A"/>
    <w:rsid w:val="1D7814FC"/>
    <w:rsid w:val="1D7C0366"/>
    <w:rsid w:val="1D7E40DE"/>
    <w:rsid w:val="1D7F39B2"/>
    <w:rsid w:val="1D8316F5"/>
    <w:rsid w:val="1D835251"/>
    <w:rsid w:val="1D852670"/>
    <w:rsid w:val="1D856CFB"/>
    <w:rsid w:val="1D880AB9"/>
    <w:rsid w:val="1D884F5D"/>
    <w:rsid w:val="1D8C0B17"/>
    <w:rsid w:val="1D905BC0"/>
    <w:rsid w:val="1D921938"/>
    <w:rsid w:val="1D9236E6"/>
    <w:rsid w:val="1D954F84"/>
    <w:rsid w:val="1D96549F"/>
    <w:rsid w:val="1D9847C6"/>
    <w:rsid w:val="1D992CC6"/>
    <w:rsid w:val="1D9B59B9"/>
    <w:rsid w:val="1D9C6312"/>
    <w:rsid w:val="1D9E02DC"/>
    <w:rsid w:val="1D9E652E"/>
    <w:rsid w:val="1DA17DCD"/>
    <w:rsid w:val="1DA358F3"/>
    <w:rsid w:val="1DA578BD"/>
    <w:rsid w:val="1DA63635"/>
    <w:rsid w:val="1DA84CB7"/>
    <w:rsid w:val="1DA9032A"/>
    <w:rsid w:val="1DAA4ED3"/>
    <w:rsid w:val="1DAB29F9"/>
    <w:rsid w:val="1DAB47A7"/>
    <w:rsid w:val="1DAD49C3"/>
    <w:rsid w:val="1DAF4298"/>
    <w:rsid w:val="1DAF58DD"/>
    <w:rsid w:val="1DAF6046"/>
    <w:rsid w:val="1DB01DBE"/>
    <w:rsid w:val="1DB16262"/>
    <w:rsid w:val="1DB21FDA"/>
    <w:rsid w:val="1DB32F8D"/>
    <w:rsid w:val="1DB4365C"/>
    <w:rsid w:val="1DB61906"/>
    <w:rsid w:val="1DB63878"/>
    <w:rsid w:val="1DB7314C"/>
    <w:rsid w:val="1DB775F0"/>
    <w:rsid w:val="1DB96EC4"/>
    <w:rsid w:val="1DBC69B5"/>
    <w:rsid w:val="1DC00253"/>
    <w:rsid w:val="1DC006F0"/>
    <w:rsid w:val="1DC1221D"/>
    <w:rsid w:val="1DC15D79"/>
    <w:rsid w:val="1DC31AF1"/>
    <w:rsid w:val="1DC71EC2"/>
    <w:rsid w:val="1DC75A85"/>
    <w:rsid w:val="1DC835AB"/>
    <w:rsid w:val="1DC87107"/>
    <w:rsid w:val="1DCA2E80"/>
    <w:rsid w:val="1DCD471E"/>
    <w:rsid w:val="1DCF493A"/>
    <w:rsid w:val="1DCF66E8"/>
    <w:rsid w:val="1DD43CFE"/>
    <w:rsid w:val="1DD618BD"/>
    <w:rsid w:val="1DD67A76"/>
    <w:rsid w:val="1DD942EA"/>
    <w:rsid w:val="1DD957B9"/>
    <w:rsid w:val="1DD95CC8"/>
    <w:rsid w:val="1DDB5C55"/>
    <w:rsid w:val="1DDE4B7D"/>
    <w:rsid w:val="1DDF410F"/>
    <w:rsid w:val="1DDF7C04"/>
    <w:rsid w:val="1DE11D1C"/>
    <w:rsid w:val="1DE303E5"/>
    <w:rsid w:val="1DE32193"/>
    <w:rsid w:val="1DE33F41"/>
    <w:rsid w:val="1DE43C6F"/>
    <w:rsid w:val="1DE57CB9"/>
    <w:rsid w:val="1DE859FC"/>
    <w:rsid w:val="1DED3012"/>
    <w:rsid w:val="1DEF28E6"/>
    <w:rsid w:val="1DF148B0"/>
    <w:rsid w:val="1DF47EFC"/>
    <w:rsid w:val="1DF60118"/>
    <w:rsid w:val="1DF61EC7"/>
    <w:rsid w:val="1DF64EF3"/>
    <w:rsid w:val="1DFB128B"/>
    <w:rsid w:val="1DFE521F"/>
    <w:rsid w:val="1DFE6FCD"/>
    <w:rsid w:val="1DFF1124"/>
    <w:rsid w:val="1E021CD3"/>
    <w:rsid w:val="1E0349E4"/>
    <w:rsid w:val="1E075E82"/>
    <w:rsid w:val="1E081852"/>
    <w:rsid w:val="1E0A3BC4"/>
    <w:rsid w:val="1E0C1593"/>
    <w:rsid w:val="1E0C793C"/>
    <w:rsid w:val="1E0F4D36"/>
    <w:rsid w:val="1E1020A9"/>
    <w:rsid w:val="1E124827"/>
    <w:rsid w:val="1E14510F"/>
    <w:rsid w:val="1E171E3D"/>
    <w:rsid w:val="1E1C7453"/>
    <w:rsid w:val="1E1D43CF"/>
    <w:rsid w:val="1E1D56A5"/>
    <w:rsid w:val="1E1E4F79"/>
    <w:rsid w:val="1E1F1EBF"/>
    <w:rsid w:val="1E205195"/>
    <w:rsid w:val="1E214A6A"/>
    <w:rsid w:val="1E22594E"/>
    <w:rsid w:val="1E256308"/>
    <w:rsid w:val="1E276524"/>
    <w:rsid w:val="1E2A1B70"/>
    <w:rsid w:val="1E2A7DC2"/>
    <w:rsid w:val="1E2B6BE7"/>
    <w:rsid w:val="1E2E78B2"/>
    <w:rsid w:val="1E2F7187"/>
    <w:rsid w:val="1E311151"/>
    <w:rsid w:val="1E320A25"/>
    <w:rsid w:val="1E334EC9"/>
    <w:rsid w:val="1E360515"/>
    <w:rsid w:val="1E3649B9"/>
    <w:rsid w:val="1E385BDE"/>
    <w:rsid w:val="1E391DB3"/>
    <w:rsid w:val="1E3B1FCF"/>
    <w:rsid w:val="1E3C702F"/>
    <w:rsid w:val="1E3D18A3"/>
    <w:rsid w:val="1E3D7AF5"/>
    <w:rsid w:val="1E401394"/>
    <w:rsid w:val="1E403142"/>
    <w:rsid w:val="1E413AA8"/>
    <w:rsid w:val="1E42335E"/>
    <w:rsid w:val="1E432C32"/>
    <w:rsid w:val="1E45337F"/>
    <w:rsid w:val="1E472722"/>
    <w:rsid w:val="1E4A684B"/>
    <w:rsid w:val="1E4C7D38"/>
    <w:rsid w:val="1E4E3AB1"/>
    <w:rsid w:val="1E4F7829"/>
    <w:rsid w:val="1E5135A1"/>
    <w:rsid w:val="1E5310C7"/>
    <w:rsid w:val="1E57048B"/>
    <w:rsid w:val="1E5D1F46"/>
    <w:rsid w:val="1E5D3CF4"/>
    <w:rsid w:val="1E5D6F6E"/>
    <w:rsid w:val="1E5E181A"/>
    <w:rsid w:val="1E605592"/>
    <w:rsid w:val="1E62130A"/>
    <w:rsid w:val="1E6257AE"/>
    <w:rsid w:val="1E635082"/>
    <w:rsid w:val="1E672DC4"/>
    <w:rsid w:val="1E6A6411"/>
    <w:rsid w:val="1E6F3A27"/>
    <w:rsid w:val="1E71154D"/>
    <w:rsid w:val="1E71779F"/>
    <w:rsid w:val="1E74728F"/>
    <w:rsid w:val="1E780B2E"/>
    <w:rsid w:val="1E7828DC"/>
    <w:rsid w:val="1E7948A6"/>
    <w:rsid w:val="1E7C50C8"/>
    <w:rsid w:val="1E7D6144"/>
    <w:rsid w:val="1E827BFE"/>
    <w:rsid w:val="1E854FF8"/>
    <w:rsid w:val="1E86055A"/>
    <w:rsid w:val="1E86274F"/>
    <w:rsid w:val="1E870D71"/>
    <w:rsid w:val="1E876FC3"/>
    <w:rsid w:val="1E890F8D"/>
    <w:rsid w:val="1E892D3B"/>
    <w:rsid w:val="1E896907"/>
    <w:rsid w:val="1E8B6B43"/>
    <w:rsid w:val="1E8C604D"/>
    <w:rsid w:val="1E8E11A8"/>
    <w:rsid w:val="1E8F5E77"/>
    <w:rsid w:val="1E8F7C25"/>
    <w:rsid w:val="1E911BEF"/>
    <w:rsid w:val="1E917E41"/>
    <w:rsid w:val="1E935967"/>
    <w:rsid w:val="1E945864"/>
    <w:rsid w:val="1E952C15"/>
    <w:rsid w:val="1E957931"/>
    <w:rsid w:val="1E960FB4"/>
    <w:rsid w:val="1E9811D0"/>
    <w:rsid w:val="1E9A4F48"/>
    <w:rsid w:val="1E9B0CC0"/>
    <w:rsid w:val="1E9B2A6E"/>
    <w:rsid w:val="1E9D0594"/>
    <w:rsid w:val="1E9D67E6"/>
    <w:rsid w:val="1E9F430C"/>
    <w:rsid w:val="1EA25BAA"/>
    <w:rsid w:val="1EA3575E"/>
    <w:rsid w:val="1EA47B74"/>
    <w:rsid w:val="1EA57449"/>
    <w:rsid w:val="1EA638ED"/>
    <w:rsid w:val="1EA77665"/>
    <w:rsid w:val="1EAA54AB"/>
    <w:rsid w:val="1EAC4C7B"/>
    <w:rsid w:val="1EAC6A29"/>
    <w:rsid w:val="1EAF02C7"/>
    <w:rsid w:val="1EB11208"/>
    <w:rsid w:val="1EB12291"/>
    <w:rsid w:val="1EB37DB8"/>
    <w:rsid w:val="1EB61656"/>
    <w:rsid w:val="1EB678A8"/>
    <w:rsid w:val="1EB83620"/>
    <w:rsid w:val="1EB8717C"/>
    <w:rsid w:val="1EBA7398"/>
    <w:rsid w:val="1EBB0A1A"/>
    <w:rsid w:val="1EBB4EBE"/>
    <w:rsid w:val="1EBB7948"/>
    <w:rsid w:val="1EBC7552"/>
    <w:rsid w:val="1EBD0C36"/>
    <w:rsid w:val="1EBD6015"/>
    <w:rsid w:val="1EBF050A"/>
    <w:rsid w:val="1EC01001"/>
    <w:rsid w:val="1EC02DEE"/>
    <w:rsid w:val="1EC1196B"/>
    <w:rsid w:val="1EC11CD6"/>
    <w:rsid w:val="1EC254B9"/>
    <w:rsid w:val="1EC2624D"/>
    <w:rsid w:val="1EC41FC5"/>
    <w:rsid w:val="1EC5360D"/>
    <w:rsid w:val="1EC65D3D"/>
    <w:rsid w:val="1EC91389"/>
    <w:rsid w:val="1ECB5101"/>
    <w:rsid w:val="1ECC0E79"/>
    <w:rsid w:val="1ECE074D"/>
    <w:rsid w:val="1ECE322F"/>
    <w:rsid w:val="1ECE699F"/>
    <w:rsid w:val="1ED0096A"/>
    <w:rsid w:val="1ED3045A"/>
    <w:rsid w:val="1ED32208"/>
    <w:rsid w:val="1ED61CF8"/>
    <w:rsid w:val="1ED85A70"/>
    <w:rsid w:val="1ED8781E"/>
    <w:rsid w:val="1EDC730E"/>
    <w:rsid w:val="1EDD4E34"/>
    <w:rsid w:val="1EDD6BE3"/>
    <w:rsid w:val="1EDF6D85"/>
    <w:rsid w:val="1EE00481"/>
    <w:rsid w:val="1EE116A5"/>
    <w:rsid w:val="1EE2069D"/>
    <w:rsid w:val="1EE45D3E"/>
    <w:rsid w:val="1EE7180F"/>
    <w:rsid w:val="1EE77A61"/>
    <w:rsid w:val="1EEA3E98"/>
    <w:rsid w:val="1EEB2065"/>
    <w:rsid w:val="1EEB7551"/>
    <w:rsid w:val="1EF02DBA"/>
    <w:rsid w:val="1EF0755B"/>
    <w:rsid w:val="1EF108E0"/>
    <w:rsid w:val="1EF11BC2"/>
    <w:rsid w:val="1EF34658"/>
    <w:rsid w:val="1EF503D0"/>
    <w:rsid w:val="1EF83A1C"/>
    <w:rsid w:val="1EFA0DBC"/>
    <w:rsid w:val="1EFA3E56"/>
    <w:rsid w:val="1EFA59E6"/>
    <w:rsid w:val="1EFA7794"/>
    <w:rsid w:val="1EFB52BB"/>
    <w:rsid w:val="1EFD7285"/>
    <w:rsid w:val="1EFE0AE6"/>
    <w:rsid w:val="1F0044AB"/>
    <w:rsid w:val="1F00466F"/>
    <w:rsid w:val="1F02489B"/>
    <w:rsid w:val="1F040613"/>
    <w:rsid w:val="1F046865"/>
    <w:rsid w:val="1F0B7CB7"/>
    <w:rsid w:val="1F0C74C8"/>
    <w:rsid w:val="1F0D396C"/>
    <w:rsid w:val="1F0E1492"/>
    <w:rsid w:val="1F121C14"/>
    <w:rsid w:val="1F132604"/>
    <w:rsid w:val="1F1620F4"/>
    <w:rsid w:val="1F176598"/>
    <w:rsid w:val="1F1840BF"/>
    <w:rsid w:val="1F1A3993"/>
    <w:rsid w:val="1F1C595D"/>
    <w:rsid w:val="1F1D3483"/>
    <w:rsid w:val="1F220A99"/>
    <w:rsid w:val="1F234F3D"/>
    <w:rsid w:val="1F240CB5"/>
    <w:rsid w:val="1F244811"/>
    <w:rsid w:val="1F26058A"/>
    <w:rsid w:val="1F263077"/>
    <w:rsid w:val="1F2760B0"/>
    <w:rsid w:val="1F2962CC"/>
    <w:rsid w:val="1F2A132B"/>
    <w:rsid w:val="1F2B1BBB"/>
    <w:rsid w:val="1F2B3EFC"/>
    <w:rsid w:val="1F2C1918"/>
    <w:rsid w:val="1F3709E9"/>
    <w:rsid w:val="1F3917B1"/>
    <w:rsid w:val="1F394761"/>
    <w:rsid w:val="1F3A1CC8"/>
    <w:rsid w:val="1F3A7811"/>
    <w:rsid w:val="1F3C1B5B"/>
    <w:rsid w:val="1F3D3861"/>
    <w:rsid w:val="1F3E1D77"/>
    <w:rsid w:val="1F3F164B"/>
    <w:rsid w:val="1F4153C3"/>
    <w:rsid w:val="1F42113B"/>
    <w:rsid w:val="1F422EEA"/>
    <w:rsid w:val="1F43738D"/>
    <w:rsid w:val="1F446C62"/>
    <w:rsid w:val="1F455F33"/>
    <w:rsid w:val="1F4849A4"/>
    <w:rsid w:val="1F4B4494"/>
    <w:rsid w:val="1F4F542F"/>
    <w:rsid w:val="1F536EA5"/>
    <w:rsid w:val="1F572E39"/>
    <w:rsid w:val="1F5A0233"/>
    <w:rsid w:val="1F5F1CED"/>
    <w:rsid w:val="1F6115C2"/>
    <w:rsid w:val="1F645556"/>
    <w:rsid w:val="1F66307C"/>
    <w:rsid w:val="1F6862A6"/>
    <w:rsid w:val="1F69007B"/>
    <w:rsid w:val="1F6966C8"/>
    <w:rsid w:val="1F6A2B6C"/>
    <w:rsid w:val="1F6B0692"/>
    <w:rsid w:val="1F6B41EE"/>
    <w:rsid w:val="1F6B68E4"/>
    <w:rsid w:val="1F6D7F66"/>
    <w:rsid w:val="1F6E1F30"/>
    <w:rsid w:val="1F6E3CDF"/>
    <w:rsid w:val="1F6F5AB9"/>
    <w:rsid w:val="1F705CA9"/>
    <w:rsid w:val="1F7742B3"/>
    <w:rsid w:val="1F794E23"/>
    <w:rsid w:val="1F7A180A"/>
    <w:rsid w:val="1F7A2683"/>
    <w:rsid w:val="1F7A6B27"/>
    <w:rsid w:val="1F7C464D"/>
    <w:rsid w:val="1F7E4C34"/>
    <w:rsid w:val="1F7F5EEC"/>
    <w:rsid w:val="1F8009E4"/>
    <w:rsid w:val="1F841EC1"/>
    <w:rsid w:val="1F843502"/>
    <w:rsid w:val="1F86727A"/>
    <w:rsid w:val="1F882FF2"/>
    <w:rsid w:val="1F884DA0"/>
    <w:rsid w:val="1F8B2AE2"/>
    <w:rsid w:val="1F8B7731"/>
    <w:rsid w:val="1F8D685B"/>
    <w:rsid w:val="1F8E4729"/>
    <w:rsid w:val="1F8E612F"/>
    <w:rsid w:val="1F8F25D3"/>
    <w:rsid w:val="1F9000F9"/>
    <w:rsid w:val="1F901CAA"/>
    <w:rsid w:val="1F901EA7"/>
    <w:rsid w:val="1F923E71"/>
    <w:rsid w:val="1F947BE9"/>
    <w:rsid w:val="1F980D5B"/>
    <w:rsid w:val="1F9951FF"/>
    <w:rsid w:val="1F9B6D2D"/>
    <w:rsid w:val="1F9D0F13"/>
    <w:rsid w:val="1FA3607E"/>
    <w:rsid w:val="1FA37E2C"/>
    <w:rsid w:val="1FA53BA4"/>
    <w:rsid w:val="1FA63478"/>
    <w:rsid w:val="1FA80734"/>
    <w:rsid w:val="1FA92F69"/>
    <w:rsid w:val="1FA97BE3"/>
    <w:rsid w:val="1FAD2A59"/>
    <w:rsid w:val="1FB042F7"/>
    <w:rsid w:val="1FB21E1D"/>
    <w:rsid w:val="1FB75686"/>
    <w:rsid w:val="1FB77434"/>
    <w:rsid w:val="1FB8145E"/>
    <w:rsid w:val="1FB82425"/>
    <w:rsid w:val="1FB94107"/>
    <w:rsid w:val="1FBA6F24"/>
    <w:rsid w:val="1FBC0EEE"/>
    <w:rsid w:val="1FBE0986"/>
    <w:rsid w:val="1FBF453A"/>
    <w:rsid w:val="1FC3227C"/>
    <w:rsid w:val="1FC3402A"/>
    <w:rsid w:val="1FC41B50"/>
    <w:rsid w:val="1FC63B1B"/>
    <w:rsid w:val="1FC66330"/>
    <w:rsid w:val="1FCA360B"/>
    <w:rsid w:val="1FD04999"/>
    <w:rsid w:val="1FD06747"/>
    <w:rsid w:val="1FD20711"/>
    <w:rsid w:val="1FD47FE6"/>
    <w:rsid w:val="1FD53D5E"/>
    <w:rsid w:val="1FD55B0C"/>
    <w:rsid w:val="1FD60202"/>
    <w:rsid w:val="1FD71884"/>
    <w:rsid w:val="1FD75D28"/>
    <w:rsid w:val="1FD91AA0"/>
    <w:rsid w:val="1FDA1374"/>
    <w:rsid w:val="1FDB5818"/>
    <w:rsid w:val="1FDC50EC"/>
    <w:rsid w:val="1FE12702"/>
    <w:rsid w:val="1FE21EC2"/>
    <w:rsid w:val="1FE30229"/>
    <w:rsid w:val="1FE3647B"/>
    <w:rsid w:val="1FE43FA1"/>
    <w:rsid w:val="1FE65F6B"/>
    <w:rsid w:val="1FE81CE3"/>
    <w:rsid w:val="1FEA15B7"/>
    <w:rsid w:val="1FEB532F"/>
    <w:rsid w:val="1FEC17D3"/>
    <w:rsid w:val="1FED554B"/>
    <w:rsid w:val="1FEF3071"/>
    <w:rsid w:val="1FF16DE9"/>
    <w:rsid w:val="1FF266BE"/>
    <w:rsid w:val="1FF40688"/>
    <w:rsid w:val="1FF42195"/>
    <w:rsid w:val="1FF42436"/>
    <w:rsid w:val="1FF73CD4"/>
    <w:rsid w:val="1FF901D7"/>
    <w:rsid w:val="1FF90471"/>
    <w:rsid w:val="1FF94B77"/>
    <w:rsid w:val="1FF97A4C"/>
    <w:rsid w:val="1FFB37C4"/>
    <w:rsid w:val="1FFB7C68"/>
    <w:rsid w:val="1FFC12EA"/>
    <w:rsid w:val="1FFD4638"/>
    <w:rsid w:val="1FFE5062"/>
    <w:rsid w:val="1FFF72A8"/>
    <w:rsid w:val="20000DDB"/>
    <w:rsid w:val="20014B53"/>
    <w:rsid w:val="20036B1D"/>
    <w:rsid w:val="20041C8A"/>
    <w:rsid w:val="20052895"/>
    <w:rsid w:val="20054643"/>
    <w:rsid w:val="2007660D"/>
    <w:rsid w:val="20084133"/>
    <w:rsid w:val="20085EE1"/>
    <w:rsid w:val="200A7EAB"/>
    <w:rsid w:val="200D34F7"/>
    <w:rsid w:val="200F101E"/>
    <w:rsid w:val="20104D96"/>
    <w:rsid w:val="20120887"/>
    <w:rsid w:val="20120B0E"/>
    <w:rsid w:val="201245E9"/>
    <w:rsid w:val="20142AD8"/>
    <w:rsid w:val="201523AC"/>
    <w:rsid w:val="201605FE"/>
    <w:rsid w:val="201725C8"/>
    <w:rsid w:val="201C373B"/>
    <w:rsid w:val="2020147D"/>
    <w:rsid w:val="20216FA3"/>
    <w:rsid w:val="20234AC9"/>
    <w:rsid w:val="2027280B"/>
    <w:rsid w:val="20280331"/>
    <w:rsid w:val="20286583"/>
    <w:rsid w:val="202D1DEC"/>
    <w:rsid w:val="202D3B9A"/>
    <w:rsid w:val="202D76F6"/>
    <w:rsid w:val="202F16C0"/>
    <w:rsid w:val="202F7912"/>
    <w:rsid w:val="20307817"/>
    <w:rsid w:val="20322F5E"/>
    <w:rsid w:val="20340A84"/>
    <w:rsid w:val="20346CD6"/>
    <w:rsid w:val="20347628"/>
    <w:rsid w:val="20360CA0"/>
    <w:rsid w:val="20370574"/>
    <w:rsid w:val="203717D3"/>
    <w:rsid w:val="203767C6"/>
    <w:rsid w:val="20392D4B"/>
    <w:rsid w:val="203942EC"/>
    <w:rsid w:val="20397E8F"/>
    <w:rsid w:val="203A77B8"/>
    <w:rsid w:val="203E1903"/>
    <w:rsid w:val="2040567B"/>
    <w:rsid w:val="20436F19"/>
    <w:rsid w:val="2044711D"/>
    <w:rsid w:val="20457135"/>
    <w:rsid w:val="204607B7"/>
    <w:rsid w:val="204748C7"/>
    <w:rsid w:val="20476A09"/>
    <w:rsid w:val="20484530"/>
    <w:rsid w:val="2049139E"/>
    <w:rsid w:val="204D5FEA"/>
    <w:rsid w:val="204D7D98"/>
    <w:rsid w:val="204F1D62"/>
    <w:rsid w:val="204F264A"/>
    <w:rsid w:val="20510493"/>
    <w:rsid w:val="20514B81"/>
    <w:rsid w:val="20515ADA"/>
    <w:rsid w:val="20541126"/>
    <w:rsid w:val="205630F0"/>
    <w:rsid w:val="20580C17"/>
    <w:rsid w:val="20586A23"/>
    <w:rsid w:val="20586E69"/>
    <w:rsid w:val="2059498F"/>
    <w:rsid w:val="205B0707"/>
    <w:rsid w:val="205B4263"/>
    <w:rsid w:val="205C650F"/>
    <w:rsid w:val="205C6834"/>
    <w:rsid w:val="206155F1"/>
    <w:rsid w:val="20623843"/>
    <w:rsid w:val="20631369"/>
    <w:rsid w:val="20646707"/>
    <w:rsid w:val="20653161"/>
    <w:rsid w:val="206550E2"/>
    <w:rsid w:val="20670E5A"/>
    <w:rsid w:val="20686980"/>
    <w:rsid w:val="20692E24"/>
    <w:rsid w:val="206A26F8"/>
    <w:rsid w:val="206C46C2"/>
    <w:rsid w:val="206E043A"/>
    <w:rsid w:val="206F2F29"/>
    <w:rsid w:val="206F7D0E"/>
    <w:rsid w:val="20713A86"/>
    <w:rsid w:val="207215AC"/>
    <w:rsid w:val="20743577"/>
    <w:rsid w:val="20757868"/>
    <w:rsid w:val="20781906"/>
    <w:rsid w:val="207B66B3"/>
    <w:rsid w:val="207E61A3"/>
    <w:rsid w:val="20810627"/>
    <w:rsid w:val="20831A0C"/>
    <w:rsid w:val="208328D1"/>
    <w:rsid w:val="208714FC"/>
    <w:rsid w:val="20875058"/>
    <w:rsid w:val="208A0FEC"/>
    <w:rsid w:val="208D3C12"/>
    <w:rsid w:val="208F03B0"/>
    <w:rsid w:val="208F215E"/>
    <w:rsid w:val="20915ED7"/>
    <w:rsid w:val="20937EA1"/>
    <w:rsid w:val="20943C19"/>
    <w:rsid w:val="209459C7"/>
    <w:rsid w:val="20971013"/>
    <w:rsid w:val="20983709"/>
    <w:rsid w:val="20983EB6"/>
    <w:rsid w:val="209854B7"/>
    <w:rsid w:val="20987265"/>
    <w:rsid w:val="2099122F"/>
    <w:rsid w:val="20992FDD"/>
    <w:rsid w:val="209B0A84"/>
    <w:rsid w:val="209B6D55"/>
    <w:rsid w:val="209B7C66"/>
    <w:rsid w:val="209D487B"/>
    <w:rsid w:val="209E1F1C"/>
    <w:rsid w:val="209E7D28"/>
    <w:rsid w:val="209F6845"/>
    <w:rsid w:val="20A0436C"/>
    <w:rsid w:val="20A05219"/>
    <w:rsid w:val="20A21E92"/>
    <w:rsid w:val="20A53730"/>
    <w:rsid w:val="20A57BD4"/>
    <w:rsid w:val="20A830A0"/>
    <w:rsid w:val="20B41BC5"/>
    <w:rsid w:val="20B45481"/>
    <w:rsid w:val="20B533DE"/>
    <w:rsid w:val="20B971DB"/>
    <w:rsid w:val="20BB7250"/>
    <w:rsid w:val="20BB733B"/>
    <w:rsid w:val="20BB73F7"/>
    <w:rsid w:val="20BD1CF0"/>
    <w:rsid w:val="20BE2A44"/>
    <w:rsid w:val="20BE2CEC"/>
    <w:rsid w:val="20C067BC"/>
    <w:rsid w:val="20C22534"/>
    <w:rsid w:val="20C27BBB"/>
    <w:rsid w:val="20C31E08"/>
    <w:rsid w:val="20C67002"/>
    <w:rsid w:val="20C86C83"/>
    <w:rsid w:val="20CA3197"/>
    <w:rsid w:val="20CA763A"/>
    <w:rsid w:val="20CC5161"/>
    <w:rsid w:val="20CC6F0F"/>
    <w:rsid w:val="20CD515E"/>
    <w:rsid w:val="20CE0ED9"/>
    <w:rsid w:val="20D64231"/>
    <w:rsid w:val="20DA5ACF"/>
    <w:rsid w:val="20DB1848"/>
    <w:rsid w:val="20DD736E"/>
    <w:rsid w:val="20E029BA"/>
    <w:rsid w:val="20E22BD6"/>
    <w:rsid w:val="20E24984"/>
    <w:rsid w:val="20E26732"/>
    <w:rsid w:val="20E73D48"/>
    <w:rsid w:val="20E83702"/>
    <w:rsid w:val="20E879FE"/>
    <w:rsid w:val="20E922CD"/>
    <w:rsid w:val="20E93F65"/>
    <w:rsid w:val="20E97AC1"/>
    <w:rsid w:val="20EA3839"/>
    <w:rsid w:val="20EB1A8B"/>
    <w:rsid w:val="20ED750E"/>
    <w:rsid w:val="20EE3329"/>
    <w:rsid w:val="20EE50D7"/>
    <w:rsid w:val="20F070A1"/>
    <w:rsid w:val="20F12AC3"/>
    <w:rsid w:val="20F12E19"/>
    <w:rsid w:val="20F36B91"/>
    <w:rsid w:val="20F52909"/>
    <w:rsid w:val="20FB5A46"/>
    <w:rsid w:val="20FB77F4"/>
    <w:rsid w:val="20FC3C98"/>
    <w:rsid w:val="20FD17BE"/>
    <w:rsid w:val="20FD531A"/>
    <w:rsid w:val="20FF72E4"/>
    <w:rsid w:val="21012835"/>
    <w:rsid w:val="210219E5"/>
    <w:rsid w:val="21022930"/>
    <w:rsid w:val="21026DD4"/>
    <w:rsid w:val="210466A8"/>
    <w:rsid w:val="21051A4E"/>
    <w:rsid w:val="210668C5"/>
    <w:rsid w:val="2107263D"/>
    <w:rsid w:val="21080F54"/>
    <w:rsid w:val="210C7C53"/>
    <w:rsid w:val="210E39CB"/>
    <w:rsid w:val="210E7F88"/>
    <w:rsid w:val="21110DC5"/>
    <w:rsid w:val="21115269"/>
    <w:rsid w:val="21117017"/>
    <w:rsid w:val="21132D8F"/>
    <w:rsid w:val="211508B6"/>
    <w:rsid w:val="211A411E"/>
    <w:rsid w:val="211B1B26"/>
    <w:rsid w:val="211C7E96"/>
    <w:rsid w:val="211F1734"/>
    <w:rsid w:val="212154AC"/>
    <w:rsid w:val="21222FD3"/>
    <w:rsid w:val="21224D81"/>
    <w:rsid w:val="21244F9D"/>
    <w:rsid w:val="21246D4B"/>
    <w:rsid w:val="2129610F"/>
    <w:rsid w:val="212A1E87"/>
    <w:rsid w:val="212A3044"/>
    <w:rsid w:val="212B7F6F"/>
    <w:rsid w:val="212E1977"/>
    <w:rsid w:val="212E3725"/>
    <w:rsid w:val="21303941"/>
    <w:rsid w:val="2130749E"/>
    <w:rsid w:val="21313216"/>
    <w:rsid w:val="21322993"/>
    <w:rsid w:val="21325E28"/>
    <w:rsid w:val="213276BA"/>
    <w:rsid w:val="21333432"/>
    <w:rsid w:val="21352D06"/>
    <w:rsid w:val="213827F6"/>
    <w:rsid w:val="213845A4"/>
    <w:rsid w:val="213A656E"/>
    <w:rsid w:val="213B5E42"/>
    <w:rsid w:val="213B6468"/>
    <w:rsid w:val="213C22E6"/>
    <w:rsid w:val="213F3B84"/>
    <w:rsid w:val="21400B25"/>
    <w:rsid w:val="21436EF8"/>
    <w:rsid w:val="2144119B"/>
    <w:rsid w:val="21463165"/>
    <w:rsid w:val="21470C8B"/>
    <w:rsid w:val="214747E7"/>
    <w:rsid w:val="214B2529"/>
    <w:rsid w:val="214C004F"/>
    <w:rsid w:val="214C5406"/>
    <w:rsid w:val="214D3F8A"/>
    <w:rsid w:val="214E201A"/>
    <w:rsid w:val="214E3D44"/>
    <w:rsid w:val="215313DE"/>
    <w:rsid w:val="21542994"/>
    <w:rsid w:val="21553BAC"/>
    <w:rsid w:val="21562C7C"/>
    <w:rsid w:val="21570ECE"/>
    <w:rsid w:val="215A09BE"/>
    <w:rsid w:val="215C4736"/>
    <w:rsid w:val="215D400B"/>
    <w:rsid w:val="215F0F70"/>
    <w:rsid w:val="215F3821"/>
    <w:rsid w:val="215F4227"/>
    <w:rsid w:val="215F5FD5"/>
    <w:rsid w:val="216102D0"/>
    <w:rsid w:val="21614B04"/>
    <w:rsid w:val="21621621"/>
    <w:rsid w:val="21627873"/>
    <w:rsid w:val="2163106E"/>
    <w:rsid w:val="216435EB"/>
    <w:rsid w:val="21645399"/>
    <w:rsid w:val="21676C37"/>
    <w:rsid w:val="21696E53"/>
    <w:rsid w:val="216A4942"/>
    <w:rsid w:val="216A6083"/>
    <w:rsid w:val="216B6728"/>
    <w:rsid w:val="216C2DC4"/>
    <w:rsid w:val="217557F8"/>
    <w:rsid w:val="21771570"/>
    <w:rsid w:val="217750CC"/>
    <w:rsid w:val="21775AB6"/>
    <w:rsid w:val="21787096"/>
    <w:rsid w:val="217A4437"/>
    <w:rsid w:val="217A696B"/>
    <w:rsid w:val="218002A9"/>
    <w:rsid w:val="21823A71"/>
    <w:rsid w:val="21845A3B"/>
    <w:rsid w:val="2186530F"/>
    <w:rsid w:val="218C499A"/>
    <w:rsid w:val="21935C7E"/>
    <w:rsid w:val="21943159"/>
    <w:rsid w:val="21964D05"/>
    <w:rsid w:val="2196789E"/>
    <w:rsid w:val="219739C1"/>
    <w:rsid w:val="219914E7"/>
    <w:rsid w:val="219A461E"/>
    <w:rsid w:val="219A6D4B"/>
    <w:rsid w:val="219C2D85"/>
    <w:rsid w:val="219C4B33"/>
    <w:rsid w:val="219C6341"/>
    <w:rsid w:val="219D77D1"/>
    <w:rsid w:val="219E4D4F"/>
    <w:rsid w:val="21A32365"/>
    <w:rsid w:val="21A34113"/>
    <w:rsid w:val="21A869BF"/>
    <w:rsid w:val="21AA283A"/>
    <w:rsid w:val="21AF0D0A"/>
    <w:rsid w:val="21B005DE"/>
    <w:rsid w:val="21B06830"/>
    <w:rsid w:val="21B11354"/>
    <w:rsid w:val="21B1594D"/>
    <w:rsid w:val="21B207FA"/>
    <w:rsid w:val="21B31E7D"/>
    <w:rsid w:val="21B40ED6"/>
    <w:rsid w:val="21B53E47"/>
    <w:rsid w:val="21B77BBF"/>
    <w:rsid w:val="21BC51D5"/>
    <w:rsid w:val="21BE0F4D"/>
    <w:rsid w:val="21BE2CFB"/>
    <w:rsid w:val="21BF2024"/>
    <w:rsid w:val="21BF4CC5"/>
    <w:rsid w:val="21BF6A73"/>
    <w:rsid w:val="21C135B4"/>
    <w:rsid w:val="21C4408A"/>
    <w:rsid w:val="21C61BB0"/>
    <w:rsid w:val="21C83B7A"/>
    <w:rsid w:val="21C978F2"/>
    <w:rsid w:val="21CA590F"/>
    <w:rsid w:val="21CF3DA1"/>
    <w:rsid w:val="21D06ED2"/>
    <w:rsid w:val="21D10545"/>
    <w:rsid w:val="21D56297"/>
    <w:rsid w:val="21D818E3"/>
    <w:rsid w:val="21DA1AFF"/>
    <w:rsid w:val="21DA38AD"/>
    <w:rsid w:val="21DD0F34"/>
    <w:rsid w:val="21DD6EFA"/>
    <w:rsid w:val="21DE514B"/>
    <w:rsid w:val="21E604A4"/>
    <w:rsid w:val="21E87D78"/>
    <w:rsid w:val="21E93AF0"/>
    <w:rsid w:val="21EB1616"/>
    <w:rsid w:val="21ED538F"/>
    <w:rsid w:val="21EF7359"/>
    <w:rsid w:val="21F030D1"/>
    <w:rsid w:val="21F26E49"/>
    <w:rsid w:val="21F52495"/>
    <w:rsid w:val="21F77FBB"/>
    <w:rsid w:val="21FC77BC"/>
    <w:rsid w:val="21FE56DE"/>
    <w:rsid w:val="22001566"/>
    <w:rsid w:val="22096151"/>
    <w:rsid w:val="220A5F40"/>
    <w:rsid w:val="220B1CB9"/>
    <w:rsid w:val="220B7F0B"/>
    <w:rsid w:val="220D3C83"/>
    <w:rsid w:val="220F79FB"/>
    <w:rsid w:val="22117B9A"/>
    <w:rsid w:val="22123047"/>
    <w:rsid w:val="22124DF5"/>
    <w:rsid w:val="221424D5"/>
    <w:rsid w:val="221548E5"/>
    <w:rsid w:val="221768AF"/>
    <w:rsid w:val="221943D6"/>
    <w:rsid w:val="221A3B7F"/>
    <w:rsid w:val="221B014E"/>
    <w:rsid w:val="221E7C3E"/>
    <w:rsid w:val="222039B6"/>
    <w:rsid w:val="222114DC"/>
    <w:rsid w:val="2221328A"/>
    <w:rsid w:val="2221772E"/>
    <w:rsid w:val="22250FCC"/>
    <w:rsid w:val="22266AF2"/>
    <w:rsid w:val="22280ABD"/>
    <w:rsid w:val="2228286B"/>
    <w:rsid w:val="2228635C"/>
    <w:rsid w:val="2229591A"/>
    <w:rsid w:val="222A0391"/>
    <w:rsid w:val="222A0696"/>
    <w:rsid w:val="222A65E3"/>
    <w:rsid w:val="222B4109"/>
    <w:rsid w:val="223034CD"/>
    <w:rsid w:val="2234120F"/>
    <w:rsid w:val="22342FBD"/>
    <w:rsid w:val="22347461"/>
    <w:rsid w:val="223631D9"/>
    <w:rsid w:val="2237586F"/>
    <w:rsid w:val="22396826"/>
    <w:rsid w:val="223B259E"/>
    <w:rsid w:val="223B434C"/>
    <w:rsid w:val="223E208E"/>
    <w:rsid w:val="223E5BEA"/>
    <w:rsid w:val="22401962"/>
    <w:rsid w:val="22407BB4"/>
    <w:rsid w:val="22421B7E"/>
    <w:rsid w:val="22442DBC"/>
    <w:rsid w:val="224551CB"/>
    <w:rsid w:val="22456F79"/>
    <w:rsid w:val="22457E73"/>
    <w:rsid w:val="22462CF1"/>
    <w:rsid w:val="224768AD"/>
    <w:rsid w:val="22482F0D"/>
    <w:rsid w:val="224A0A33"/>
    <w:rsid w:val="224A458F"/>
    <w:rsid w:val="224C47AB"/>
    <w:rsid w:val="224C6559"/>
    <w:rsid w:val="224C6605"/>
    <w:rsid w:val="224E2666"/>
    <w:rsid w:val="224F66C7"/>
    <w:rsid w:val="22513B6F"/>
    <w:rsid w:val="225278E7"/>
    <w:rsid w:val="22574EFE"/>
    <w:rsid w:val="22583E4C"/>
    <w:rsid w:val="225A6D88"/>
    <w:rsid w:val="225E628C"/>
    <w:rsid w:val="22600256"/>
    <w:rsid w:val="226118D9"/>
    <w:rsid w:val="22617B2B"/>
    <w:rsid w:val="22631AF5"/>
    <w:rsid w:val="226323ED"/>
    <w:rsid w:val="226376D9"/>
    <w:rsid w:val="226513C5"/>
    <w:rsid w:val="22655D1C"/>
    <w:rsid w:val="22664EDF"/>
    <w:rsid w:val="22673393"/>
    <w:rsid w:val="226908C7"/>
    <w:rsid w:val="226B2757"/>
    <w:rsid w:val="226C09A9"/>
    <w:rsid w:val="226C301E"/>
    <w:rsid w:val="226D1CAC"/>
    <w:rsid w:val="226F2247"/>
    <w:rsid w:val="22702E2F"/>
    <w:rsid w:val="22711EB6"/>
    <w:rsid w:val="22715FC0"/>
    <w:rsid w:val="227301D5"/>
    <w:rsid w:val="22737F8A"/>
    <w:rsid w:val="22743D02"/>
    <w:rsid w:val="2277734E"/>
    <w:rsid w:val="22794E74"/>
    <w:rsid w:val="227D06D9"/>
    <w:rsid w:val="227D2BB6"/>
    <w:rsid w:val="228026A7"/>
    <w:rsid w:val="22803731"/>
    <w:rsid w:val="22806203"/>
    <w:rsid w:val="22813D29"/>
    <w:rsid w:val="22851A6B"/>
    <w:rsid w:val="228A0E2F"/>
    <w:rsid w:val="228A1178"/>
    <w:rsid w:val="228A7081"/>
    <w:rsid w:val="228C4BA7"/>
    <w:rsid w:val="229323DA"/>
    <w:rsid w:val="22941CAE"/>
    <w:rsid w:val="22995516"/>
    <w:rsid w:val="229B303C"/>
    <w:rsid w:val="229B752C"/>
    <w:rsid w:val="229D5007"/>
    <w:rsid w:val="229E0695"/>
    <w:rsid w:val="229E48DB"/>
    <w:rsid w:val="229E75EE"/>
    <w:rsid w:val="229F3FA5"/>
    <w:rsid w:val="22A04AF7"/>
    <w:rsid w:val="22A10244"/>
    <w:rsid w:val="22A243CB"/>
    <w:rsid w:val="22A25CBE"/>
    <w:rsid w:val="22A273FF"/>
    <w:rsid w:val="22A30143"/>
    <w:rsid w:val="22A77C33"/>
    <w:rsid w:val="22AA01F1"/>
    <w:rsid w:val="22AA7723"/>
    <w:rsid w:val="22AB1BF2"/>
    <w:rsid w:val="22AC6FF8"/>
    <w:rsid w:val="22AE0FC2"/>
    <w:rsid w:val="22AF006F"/>
    <w:rsid w:val="22B07DE4"/>
    <w:rsid w:val="22B42350"/>
    <w:rsid w:val="22B660C8"/>
    <w:rsid w:val="22B83BEE"/>
    <w:rsid w:val="22B85530"/>
    <w:rsid w:val="22B91715"/>
    <w:rsid w:val="22BB36DF"/>
    <w:rsid w:val="22BD7457"/>
    <w:rsid w:val="22C02AA3"/>
    <w:rsid w:val="22C07293"/>
    <w:rsid w:val="22C2681B"/>
    <w:rsid w:val="22C32593"/>
    <w:rsid w:val="22C34341"/>
    <w:rsid w:val="22C5455D"/>
    <w:rsid w:val="22C75BE0"/>
    <w:rsid w:val="22CC58EC"/>
    <w:rsid w:val="22CC769A"/>
    <w:rsid w:val="22CD1B83"/>
    <w:rsid w:val="22CE3412"/>
    <w:rsid w:val="22D12F02"/>
    <w:rsid w:val="22D14CB0"/>
    <w:rsid w:val="22D16A5E"/>
    <w:rsid w:val="22D30A28"/>
    <w:rsid w:val="22D8603F"/>
    <w:rsid w:val="22D93B65"/>
    <w:rsid w:val="22DA08B9"/>
    <w:rsid w:val="22DA1DB7"/>
    <w:rsid w:val="22DB168B"/>
    <w:rsid w:val="22DB5B2F"/>
    <w:rsid w:val="22DD3655"/>
    <w:rsid w:val="22E20C6B"/>
    <w:rsid w:val="22E22A19"/>
    <w:rsid w:val="22E449E3"/>
    <w:rsid w:val="22E542B8"/>
    <w:rsid w:val="22E569AE"/>
    <w:rsid w:val="22E744D4"/>
    <w:rsid w:val="22EA18E2"/>
    <w:rsid w:val="22EA5D72"/>
    <w:rsid w:val="22EB3FC4"/>
    <w:rsid w:val="22EC0514"/>
    <w:rsid w:val="22EE0645"/>
    <w:rsid w:val="22EE30E2"/>
    <w:rsid w:val="22EE5862"/>
    <w:rsid w:val="22EF3388"/>
    <w:rsid w:val="22F46A22"/>
    <w:rsid w:val="22F557A2"/>
    <w:rsid w:val="22F55C75"/>
    <w:rsid w:val="22F55F7E"/>
    <w:rsid w:val="22F56BF1"/>
    <w:rsid w:val="22F664C5"/>
    <w:rsid w:val="22F80095"/>
    <w:rsid w:val="22F95FB5"/>
    <w:rsid w:val="22FA4207"/>
    <w:rsid w:val="22FB0071"/>
    <w:rsid w:val="22FB2867"/>
    <w:rsid w:val="22FD5AA5"/>
    <w:rsid w:val="22FF35CB"/>
    <w:rsid w:val="22FF7A6F"/>
    <w:rsid w:val="23005595"/>
    <w:rsid w:val="23033AEF"/>
    <w:rsid w:val="23046E34"/>
    <w:rsid w:val="23052BAC"/>
    <w:rsid w:val="2307254B"/>
    <w:rsid w:val="2309269C"/>
    <w:rsid w:val="230A1F70"/>
    <w:rsid w:val="230E2B09"/>
    <w:rsid w:val="230F7587"/>
    <w:rsid w:val="2311474A"/>
    <w:rsid w:val="23144B9D"/>
    <w:rsid w:val="231921B3"/>
    <w:rsid w:val="231B23CF"/>
    <w:rsid w:val="231B5F2B"/>
    <w:rsid w:val="231D1CA3"/>
    <w:rsid w:val="231D7342"/>
    <w:rsid w:val="231E77CA"/>
    <w:rsid w:val="231F5A1C"/>
    <w:rsid w:val="231F6524"/>
    <w:rsid w:val="232079E6"/>
    <w:rsid w:val="2322375E"/>
    <w:rsid w:val="23241284"/>
    <w:rsid w:val="23243032"/>
    <w:rsid w:val="232841D4"/>
    <w:rsid w:val="2329689A"/>
    <w:rsid w:val="232A616E"/>
    <w:rsid w:val="232C0139"/>
    <w:rsid w:val="232C638A"/>
    <w:rsid w:val="233139A1"/>
    <w:rsid w:val="2331574F"/>
    <w:rsid w:val="233174FD"/>
    <w:rsid w:val="233200D8"/>
    <w:rsid w:val="23333275"/>
    <w:rsid w:val="23353491"/>
    <w:rsid w:val="23362D65"/>
    <w:rsid w:val="23384D2F"/>
    <w:rsid w:val="23386ADD"/>
    <w:rsid w:val="233A0CAA"/>
    <w:rsid w:val="233A2855"/>
    <w:rsid w:val="233A4603"/>
    <w:rsid w:val="233D1985"/>
    <w:rsid w:val="23403BE4"/>
    <w:rsid w:val="234619DB"/>
    <w:rsid w:val="23474F72"/>
    <w:rsid w:val="23483118"/>
    <w:rsid w:val="23490CEA"/>
    <w:rsid w:val="234E19C5"/>
    <w:rsid w:val="234E6301"/>
    <w:rsid w:val="234F0D41"/>
    <w:rsid w:val="234F5BD5"/>
    <w:rsid w:val="235002CB"/>
    <w:rsid w:val="23503E27"/>
    <w:rsid w:val="2355768F"/>
    <w:rsid w:val="235A4CA6"/>
    <w:rsid w:val="235A6CAA"/>
    <w:rsid w:val="235C0A1E"/>
    <w:rsid w:val="235F406A"/>
    <w:rsid w:val="2369138D"/>
    <w:rsid w:val="23694EE9"/>
    <w:rsid w:val="236B2A0F"/>
    <w:rsid w:val="236C49D9"/>
    <w:rsid w:val="236D6760"/>
    <w:rsid w:val="236E0751"/>
    <w:rsid w:val="237044C9"/>
    <w:rsid w:val="2371150A"/>
    <w:rsid w:val="23711FEF"/>
    <w:rsid w:val="23720241"/>
    <w:rsid w:val="23735D67"/>
    <w:rsid w:val="2375388E"/>
    <w:rsid w:val="237613B4"/>
    <w:rsid w:val="2378337E"/>
    <w:rsid w:val="2378512C"/>
    <w:rsid w:val="237A6EBD"/>
    <w:rsid w:val="237B0B11"/>
    <w:rsid w:val="237F2849"/>
    <w:rsid w:val="237F470C"/>
    <w:rsid w:val="23812232"/>
    <w:rsid w:val="23841D23"/>
    <w:rsid w:val="23842AF2"/>
    <w:rsid w:val="23847F75"/>
    <w:rsid w:val="23862A4B"/>
    <w:rsid w:val="238735C1"/>
    <w:rsid w:val="23874C53"/>
    <w:rsid w:val="23887A65"/>
    <w:rsid w:val="23897339"/>
    <w:rsid w:val="238B30B1"/>
    <w:rsid w:val="238B6E02"/>
    <w:rsid w:val="238C0BD7"/>
    <w:rsid w:val="238D507B"/>
    <w:rsid w:val="238D5636"/>
    <w:rsid w:val="238E0DF3"/>
    <w:rsid w:val="238E242B"/>
    <w:rsid w:val="238E494F"/>
    <w:rsid w:val="238F70F2"/>
    <w:rsid w:val="239006C7"/>
    <w:rsid w:val="239113CE"/>
    <w:rsid w:val="2393640A"/>
    <w:rsid w:val="23955CDE"/>
    <w:rsid w:val="23963804"/>
    <w:rsid w:val="23983A20"/>
    <w:rsid w:val="23985DF6"/>
    <w:rsid w:val="239A1546"/>
    <w:rsid w:val="239C52BE"/>
    <w:rsid w:val="239D1036"/>
    <w:rsid w:val="239D2DE4"/>
    <w:rsid w:val="239D4B92"/>
    <w:rsid w:val="23A128D5"/>
    <w:rsid w:val="23A6613D"/>
    <w:rsid w:val="23A811B5"/>
    <w:rsid w:val="23A979DB"/>
    <w:rsid w:val="23AB5501"/>
    <w:rsid w:val="23AE0B4E"/>
    <w:rsid w:val="23AE66CF"/>
    <w:rsid w:val="23AE6D9F"/>
    <w:rsid w:val="23B1063E"/>
    <w:rsid w:val="23B24AE2"/>
    <w:rsid w:val="23B32608"/>
    <w:rsid w:val="23B819CC"/>
    <w:rsid w:val="23B95E70"/>
    <w:rsid w:val="23BA1BE8"/>
    <w:rsid w:val="23BA2A2E"/>
    <w:rsid w:val="23BA3996"/>
    <w:rsid w:val="23BA7682"/>
    <w:rsid w:val="23BA76CC"/>
    <w:rsid w:val="23BC14BC"/>
    <w:rsid w:val="23BF0FAD"/>
    <w:rsid w:val="23BF2D5B"/>
    <w:rsid w:val="23C245F9"/>
    <w:rsid w:val="23C40371"/>
    <w:rsid w:val="23C465C3"/>
    <w:rsid w:val="23C6058D"/>
    <w:rsid w:val="23C6233B"/>
    <w:rsid w:val="23C83794"/>
    <w:rsid w:val="23CA2B66"/>
    <w:rsid w:val="23CB16FF"/>
    <w:rsid w:val="23CB5BA3"/>
    <w:rsid w:val="23CB77BA"/>
    <w:rsid w:val="23CD52D2"/>
    <w:rsid w:val="23CE11F0"/>
    <w:rsid w:val="23CE7442"/>
    <w:rsid w:val="23D031BA"/>
    <w:rsid w:val="23D04F68"/>
    <w:rsid w:val="23D26F32"/>
    <w:rsid w:val="23D36806"/>
    <w:rsid w:val="23D507D0"/>
    <w:rsid w:val="23D5432C"/>
    <w:rsid w:val="23D74548"/>
    <w:rsid w:val="23D83E1C"/>
    <w:rsid w:val="23DA5DE6"/>
    <w:rsid w:val="23DC1B5F"/>
    <w:rsid w:val="23DC56BB"/>
    <w:rsid w:val="23DD1433"/>
    <w:rsid w:val="23DE58D7"/>
    <w:rsid w:val="23DE7685"/>
    <w:rsid w:val="23DF164F"/>
    <w:rsid w:val="23E12CD1"/>
    <w:rsid w:val="23E26A49"/>
    <w:rsid w:val="23E40A13"/>
    <w:rsid w:val="23E629DD"/>
    <w:rsid w:val="23E9602A"/>
    <w:rsid w:val="23EA427B"/>
    <w:rsid w:val="23EB1DA2"/>
    <w:rsid w:val="23EC5C89"/>
    <w:rsid w:val="23EE3640"/>
    <w:rsid w:val="23F073B8"/>
    <w:rsid w:val="23F13E30"/>
    <w:rsid w:val="23F30C56"/>
    <w:rsid w:val="23F46EA8"/>
    <w:rsid w:val="23F5677C"/>
    <w:rsid w:val="23F650D1"/>
    <w:rsid w:val="23FC3FAF"/>
    <w:rsid w:val="23FC5D5D"/>
    <w:rsid w:val="23FC7B0B"/>
    <w:rsid w:val="23FE7B75"/>
    <w:rsid w:val="23FF584D"/>
    <w:rsid w:val="23FF75FB"/>
    <w:rsid w:val="240115C5"/>
    <w:rsid w:val="2403533D"/>
    <w:rsid w:val="240370EB"/>
    <w:rsid w:val="240510B5"/>
    <w:rsid w:val="24077986"/>
    <w:rsid w:val="24084702"/>
    <w:rsid w:val="24087871"/>
    <w:rsid w:val="2409047A"/>
    <w:rsid w:val="240C7E7A"/>
    <w:rsid w:val="240E507C"/>
    <w:rsid w:val="2412732E"/>
    <w:rsid w:val="241412F8"/>
    <w:rsid w:val="24175420"/>
    <w:rsid w:val="241C39CC"/>
    <w:rsid w:val="241C63FF"/>
    <w:rsid w:val="241D458E"/>
    <w:rsid w:val="24215C55"/>
    <w:rsid w:val="24244ED1"/>
    <w:rsid w:val="2426102C"/>
    <w:rsid w:val="24266AE5"/>
    <w:rsid w:val="24284DA4"/>
    <w:rsid w:val="2429042B"/>
    <w:rsid w:val="242B03F0"/>
    <w:rsid w:val="242C008F"/>
    <w:rsid w:val="242D4168"/>
    <w:rsid w:val="242F46A1"/>
    <w:rsid w:val="242F6132"/>
    <w:rsid w:val="24305A06"/>
    <w:rsid w:val="2432352D"/>
    <w:rsid w:val="243506CB"/>
    <w:rsid w:val="24374FE7"/>
    <w:rsid w:val="243A0633"/>
    <w:rsid w:val="243C25FD"/>
    <w:rsid w:val="243E0123"/>
    <w:rsid w:val="2443398C"/>
    <w:rsid w:val="2443573A"/>
    <w:rsid w:val="24455956"/>
    <w:rsid w:val="24457704"/>
    <w:rsid w:val="24466FD8"/>
    <w:rsid w:val="24486BAE"/>
    <w:rsid w:val="244A6AC8"/>
    <w:rsid w:val="244B2840"/>
    <w:rsid w:val="244C0D1F"/>
    <w:rsid w:val="244D480A"/>
    <w:rsid w:val="244E37C0"/>
    <w:rsid w:val="244F0582"/>
    <w:rsid w:val="244F2331"/>
    <w:rsid w:val="24507E57"/>
    <w:rsid w:val="245331CC"/>
    <w:rsid w:val="24545B99"/>
    <w:rsid w:val="24547947"/>
    <w:rsid w:val="2455546D"/>
    <w:rsid w:val="245711E5"/>
    <w:rsid w:val="24572F93"/>
    <w:rsid w:val="245B6F27"/>
    <w:rsid w:val="245C0466"/>
    <w:rsid w:val="245C67FB"/>
    <w:rsid w:val="245E4322"/>
    <w:rsid w:val="245F176F"/>
    <w:rsid w:val="246102B6"/>
    <w:rsid w:val="24616C60"/>
    <w:rsid w:val="24644151"/>
    <w:rsid w:val="246758CC"/>
    <w:rsid w:val="24687A7E"/>
    <w:rsid w:val="246A53BC"/>
    <w:rsid w:val="246A716A"/>
    <w:rsid w:val="246B6A3F"/>
    <w:rsid w:val="246C379A"/>
    <w:rsid w:val="246D6C5B"/>
    <w:rsid w:val="246F3E35"/>
    <w:rsid w:val="247104F9"/>
    <w:rsid w:val="24727DCD"/>
    <w:rsid w:val="24741D97"/>
    <w:rsid w:val="247578BD"/>
    <w:rsid w:val="24761137"/>
    <w:rsid w:val="24765B0F"/>
    <w:rsid w:val="24771887"/>
    <w:rsid w:val="2479115B"/>
    <w:rsid w:val="247955FF"/>
    <w:rsid w:val="247A1AA1"/>
    <w:rsid w:val="247B3126"/>
    <w:rsid w:val="247F0D59"/>
    <w:rsid w:val="2483022C"/>
    <w:rsid w:val="2483647E"/>
    <w:rsid w:val="24855D52"/>
    <w:rsid w:val="2485605B"/>
    <w:rsid w:val="24877D1C"/>
    <w:rsid w:val="248A3369"/>
    <w:rsid w:val="248A5117"/>
    <w:rsid w:val="248B0E8F"/>
    <w:rsid w:val="248B7883"/>
    <w:rsid w:val="248D2E59"/>
    <w:rsid w:val="248F4459"/>
    <w:rsid w:val="248F710D"/>
    <w:rsid w:val="24912949"/>
    <w:rsid w:val="249146F7"/>
    <w:rsid w:val="2492221D"/>
    <w:rsid w:val="24942439"/>
    <w:rsid w:val="24973CD7"/>
    <w:rsid w:val="24977834"/>
    <w:rsid w:val="249A5961"/>
    <w:rsid w:val="249A6DF1"/>
    <w:rsid w:val="249B03D4"/>
    <w:rsid w:val="249B19C2"/>
    <w:rsid w:val="249C4E4A"/>
    <w:rsid w:val="24A106B2"/>
    <w:rsid w:val="24A26904"/>
    <w:rsid w:val="24A32EE9"/>
    <w:rsid w:val="24A51F50"/>
    <w:rsid w:val="24AA57B9"/>
    <w:rsid w:val="24AC106B"/>
    <w:rsid w:val="24AC6D44"/>
    <w:rsid w:val="24AE34FB"/>
    <w:rsid w:val="24AF7273"/>
    <w:rsid w:val="24B228BF"/>
    <w:rsid w:val="24B403E6"/>
    <w:rsid w:val="24B44889"/>
    <w:rsid w:val="24B65F0C"/>
    <w:rsid w:val="24B67467"/>
    <w:rsid w:val="24B77ED6"/>
    <w:rsid w:val="24BB5C18"/>
    <w:rsid w:val="24C001EA"/>
    <w:rsid w:val="24C10D89"/>
    <w:rsid w:val="24C148B0"/>
    <w:rsid w:val="24C22B02"/>
    <w:rsid w:val="24C525F3"/>
    <w:rsid w:val="24C7636B"/>
    <w:rsid w:val="24C77D7F"/>
    <w:rsid w:val="24C90335"/>
    <w:rsid w:val="24CA19B7"/>
    <w:rsid w:val="24CD11E7"/>
    <w:rsid w:val="24CF521F"/>
    <w:rsid w:val="24CF6FCD"/>
    <w:rsid w:val="24D171E9"/>
    <w:rsid w:val="24D6035C"/>
    <w:rsid w:val="24D740D4"/>
    <w:rsid w:val="24D82326"/>
    <w:rsid w:val="24DB3BC4"/>
    <w:rsid w:val="24DD79C5"/>
    <w:rsid w:val="24DF4CB7"/>
    <w:rsid w:val="24E011DB"/>
    <w:rsid w:val="24E0567E"/>
    <w:rsid w:val="24E46F1D"/>
    <w:rsid w:val="24E707BB"/>
    <w:rsid w:val="24E8008F"/>
    <w:rsid w:val="24E94533"/>
    <w:rsid w:val="24EE225B"/>
    <w:rsid w:val="24EE7D9B"/>
    <w:rsid w:val="24EF141E"/>
    <w:rsid w:val="24EF7670"/>
    <w:rsid w:val="24F1163A"/>
    <w:rsid w:val="24F15196"/>
    <w:rsid w:val="24F3399B"/>
    <w:rsid w:val="24F829C8"/>
    <w:rsid w:val="24FA6740"/>
    <w:rsid w:val="24FD3B3B"/>
    <w:rsid w:val="25001A40"/>
    <w:rsid w:val="2500362B"/>
    <w:rsid w:val="25007ACF"/>
    <w:rsid w:val="25021151"/>
    <w:rsid w:val="25030E1F"/>
    <w:rsid w:val="2504136D"/>
    <w:rsid w:val="25096983"/>
    <w:rsid w:val="250C7BDD"/>
    <w:rsid w:val="25102EC3"/>
    <w:rsid w:val="25113A8A"/>
    <w:rsid w:val="25137802"/>
    <w:rsid w:val="25145328"/>
    <w:rsid w:val="25146FE6"/>
    <w:rsid w:val="25164BFC"/>
    <w:rsid w:val="25180974"/>
    <w:rsid w:val="251B1717"/>
    <w:rsid w:val="251D242F"/>
    <w:rsid w:val="25203CCD"/>
    <w:rsid w:val="252235A1"/>
    <w:rsid w:val="25270BB7"/>
    <w:rsid w:val="2527505B"/>
    <w:rsid w:val="252966D9"/>
    <w:rsid w:val="252D19F8"/>
    <w:rsid w:val="252D7E52"/>
    <w:rsid w:val="252E1F46"/>
    <w:rsid w:val="252E63EA"/>
    <w:rsid w:val="25311A36"/>
    <w:rsid w:val="25324DCD"/>
    <w:rsid w:val="25333A00"/>
    <w:rsid w:val="2533755C"/>
    <w:rsid w:val="25341526"/>
    <w:rsid w:val="253634F0"/>
    <w:rsid w:val="25370C3F"/>
    <w:rsid w:val="253870B0"/>
    <w:rsid w:val="25387269"/>
    <w:rsid w:val="253908EB"/>
    <w:rsid w:val="25396B3D"/>
    <w:rsid w:val="253B2191"/>
    <w:rsid w:val="253B28B5"/>
    <w:rsid w:val="253B2B50"/>
    <w:rsid w:val="253D03DB"/>
    <w:rsid w:val="253D487F"/>
    <w:rsid w:val="25407ECB"/>
    <w:rsid w:val="25423C43"/>
    <w:rsid w:val="254309C2"/>
    <w:rsid w:val="25441769"/>
    <w:rsid w:val="25457FB6"/>
    <w:rsid w:val="25461985"/>
    <w:rsid w:val="25462670"/>
    <w:rsid w:val="25470E2F"/>
    <w:rsid w:val="25473008"/>
    <w:rsid w:val="254742AE"/>
    <w:rsid w:val="254C2D14"/>
    <w:rsid w:val="254C6FAD"/>
    <w:rsid w:val="254D45A6"/>
    <w:rsid w:val="254E25E8"/>
    <w:rsid w:val="2551032A"/>
    <w:rsid w:val="25513E86"/>
    <w:rsid w:val="255A0F8D"/>
    <w:rsid w:val="255A71DF"/>
    <w:rsid w:val="255B6AB3"/>
    <w:rsid w:val="255C2C0B"/>
    <w:rsid w:val="2561056D"/>
    <w:rsid w:val="256107E0"/>
    <w:rsid w:val="25626093"/>
    <w:rsid w:val="2564005E"/>
    <w:rsid w:val="25641E0C"/>
    <w:rsid w:val="25643BBA"/>
    <w:rsid w:val="256516E0"/>
    <w:rsid w:val="25695674"/>
    <w:rsid w:val="256C0CC0"/>
    <w:rsid w:val="256C2A6E"/>
    <w:rsid w:val="256E2C8A"/>
    <w:rsid w:val="256E7466"/>
    <w:rsid w:val="256E7B04"/>
    <w:rsid w:val="256F255E"/>
    <w:rsid w:val="25710085"/>
    <w:rsid w:val="257162D7"/>
    <w:rsid w:val="25722260"/>
    <w:rsid w:val="25757B75"/>
    <w:rsid w:val="25761B3F"/>
    <w:rsid w:val="25762D04"/>
    <w:rsid w:val="257638ED"/>
    <w:rsid w:val="25777D91"/>
    <w:rsid w:val="25781413"/>
    <w:rsid w:val="25787665"/>
    <w:rsid w:val="257B0F03"/>
    <w:rsid w:val="257B532B"/>
    <w:rsid w:val="257C53A7"/>
    <w:rsid w:val="257D111F"/>
    <w:rsid w:val="257D2ECD"/>
    <w:rsid w:val="257F27A2"/>
    <w:rsid w:val="25827457"/>
    <w:rsid w:val="25836860"/>
    <w:rsid w:val="2583719A"/>
    <w:rsid w:val="2584425C"/>
    <w:rsid w:val="2584600A"/>
    <w:rsid w:val="2584633F"/>
    <w:rsid w:val="25853B30"/>
    <w:rsid w:val="258778A8"/>
    <w:rsid w:val="258C1362"/>
    <w:rsid w:val="258E50DA"/>
    <w:rsid w:val="25902C01"/>
    <w:rsid w:val="25911BD2"/>
    <w:rsid w:val="259124D5"/>
    <w:rsid w:val="25916979"/>
    <w:rsid w:val="259455FA"/>
    <w:rsid w:val="25951FC5"/>
    <w:rsid w:val="25981AB5"/>
    <w:rsid w:val="259A3443"/>
    <w:rsid w:val="259A3A7F"/>
    <w:rsid w:val="259A7ABD"/>
    <w:rsid w:val="259D3570"/>
    <w:rsid w:val="259D70CC"/>
    <w:rsid w:val="259F4BF2"/>
    <w:rsid w:val="25A24115"/>
    <w:rsid w:val="25A33E79"/>
    <w:rsid w:val="25A466AC"/>
    <w:rsid w:val="25A95A70"/>
    <w:rsid w:val="25AB3597"/>
    <w:rsid w:val="25AB7A3A"/>
    <w:rsid w:val="25AD37B3"/>
    <w:rsid w:val="25AE6518"/>
    <w:rsid w:val="25B12B77"/>
    <w:rsid w:val="25B34B41"/>
    <w:rsid w:val="25B368EF"/>
    <w:rsid w:val="25B763DF"/>
    <w:rsid w:val="25B93EF3"/>
    <w:rsid w:val="25BA1A2C"/>
    <w:rsid w:val="25BC1C48"/>
    <w:rsid w:val="25BC57A4"/>
    <w:rsid w:val="25BD4805"/>
    <w:rsid w:val="25C278E1"/>
    <w:rsid w:val="25C32FD6"/>
    <w:rsid w:val="25C40AFC"/>
    <w:rsid w:val="25C44658"/>
    <w:rsid w:val="25C61BC9"/>
    <w:rsid w:val="25C66FF8"/>
    <w:rsid w:val="25C74149"/>
    <w:rsid w:val="25C96113"/>
    <w:rsid w:val="25CB1E8B"/>
    <w:rsid w:val="25CB3C39"/>
    <w:rsid w:val="25CB59E7"/>
    <w:rsid w:val="25D16D75"/>
    <w:rsid w:val="25D23219"/>
    <w:rsid w:val="25D56865"/>
    <w:rsid w:val="25D616BE"/>
    <w:rsid w:val="25D6438C"/>
    <w:rsid w:val="25DA0320"/>
    <w:rsid w:val="25DB7D8E"/>
    <w:rsid w:val="25DC5E46"/>
    <w:rsid w:val="25DC7BF4"/>
    <w:rsid w:val="25DD69C0"/>
    <w:rsid w:val="25DE13C8"/>
    <w:rsid w:val="25E17E34"/>
    <w:rsid w:val="25E35426"/>
    <w:rsid w:val="25E62821"/>
    <w:rsid w:val="25E92392"/>
    <w:rsid w:val="25EB3895"/>
    <w:rsid w:val="25EB42DB"/>
    <w:rsid w:val="25ED3C47"/>
    <w:rsid w:val="25EE48CB"/>
    <w:rsid w:val="25EE7927"/>
    <w:rsid w:val="25EF3DCB"/>
    <w:rsid w:val="25F018F1"/>
    <w:rsid w:val="25F0369F"/>
    <w:rsid w:val="25F25669"/>
    <w:rsid w:val="25F27417"/>
    <w:rsid w:val="25F80363"/>
    <w:rsid w:val="25F82554"/>
    <w:rsid w:val="25F8534E"/>
    <w:rsid w:val="25FC0296"/>
    <w:rsid w:val="25FC34E4"/>
    <w:rsid w:val="25FD5DBC"/>
    <w:rsid w:val="25FE400E"/>
    <w:rsid w:val="25FF7D86"/>
    <w:rsid w:val="2601765A"/>
    <w:rsid w:val="260333D3"/>
    <w:rsid w:val="26034D00"/>
    <w:rsid w:val="2604714B"/>
    <w:rsid w:val="26054B71"/>
    <w:rsid w:val="260839BC"/>
    <w:rsid w:val="260B04D9"/>
    <w:rsid w:val="260B3AF2"/>
    <w:rsid w:val="260D5FFF"/>
    <w:rsid w:val="260E7FC9"/>
    <w:rsid w:val="26123616"/>
    <w:rsid w:val="261455E0"/>
    <w:rsid w:val="261513AF"/>
    <w:rsid w:val="26153106"/>
    <w:rsid w:val="2617030E"/>
    <w:rsid w:val="26187323"/>
    <w:rsid w:val="26190E48"/>
    <w:rsid w:val="261B5221"/>
    <w:rsid w:val="261C6242"/>
    <w:rsid w:val="261D3E53"/>
    <w:rsid w:val="261E020C"/>
    <w:rsid w:val="261E2712"/>
    <w:rsid w:val="26211AAB"/>
    <w:rsid w:val="26220F7D"/>
    <w:rsid w:val="262275D1"/>
    <w:rsid w:val="26263A75"/>
    <w:rsid w:val="26284BE7"/>
    <w:rsid w:val="2629095F"/>
    <w:rsid w:val="262C5B42"/>
    <w:rsid w:val="262D044F"/>
    <w:rsid w:val="262D48F3"/>
    <w:rsid w:val="262E41C8"/>
    <w:rsid w:val="262F241A"/>
    <w:rsid w:val="26301CEE"/>
    <w:rsid w:val="26307F40"/>
    <w:rsid w:val="26321F0A"/>
    <w:rsid w:val="26323CB8"/>
    <w:rsid w:val="26325A66"/>
    <w:rsid w:val="263317DE"/>
    <w:rsid w:val="263527F3"/>
    <w:rsid w:val="263623ED"/>
    <w:rsid w:val="2637307C"/>
    <w:rsid w:val="26393298"/>
    <w:rsid w:val="263B5F44"/>
    <w:rsid w:val="263B7010"/>
    <w:rsid w:val="263C0693"/>
    <w:rsid w:val="263C7249"/>
    <w:rsid w:val="263D007F"/>
    <w:rsid w:val="263E4BC6"/>
    <w:rsid w:val="263F0183"/>
    <w:rsid w:val="263F660E"/>
    <w:rsid w:val="2641067D"/>
    <w:rsid w:val="2641214D"/>
    <w:rsid w:val="26415CA9"/>
    <w:rsid w:val="26467763"/>
    <w:rsid w:val="264C5790"/>
    <w:rsid w:val="264D28A0"/>
    <w:rsid w:val="264D464E"/>
    <w:rsid w:val="264F36B7"/>
    <w:rsid w:val="265005E2"/>
    <w:rsid w:val="2650413E"/>
    <w:rsid w:val="265064E5"/>
    <w:rsid w:val="26527EB6"/>
    <w:rsid w:val="26591245"/>
    <w:rsid w:val="265C2AE3"/>
    <w:rsid w:val="265C4C6F"/>
    <w:rsid w:val="265E0436"/>
    <w:rsid w:val="265E1035"/>
    <w:rsid w:val="265E2CFF"/>
    <w:rsid w:val="26606A77"/>
    <w:rsid w:val="266320C3"/>
    <w:rsid w:val="26634159"/>
    <w:rsid w:val="266570D9"/>
    <w:rsid w:val="26676E0F"/>
    <w:rsid w:val="2668592C"/>
    <w:rsid w:val="266A16A4"/>
    <w:rsid w:val="266B0F78"/>
    <w:rsid w:val="266B541C"/>
    <w:rsid w:val="266D6A9E"/>
    <w:rsid w:val="2670344A"/>
    <w:rsid w:val="26712A32"/>
    <w:rsid w:val="26720558"/>
    <w:rsid w:val="26722306"/>
    <w:rsid w:val="2674607E"/>
    <w:rsid w:val="26747E2C"/>
    <w:rsid w:val="26751DF6"/>
    <w:rsid w:val="26753BA5"/>
    <w:rsid w:val="267609FD"/>
    <w:rsid w:val="26797B39"/>
    <w:rsid w:val="267A11BB"/>
    <w:rsid w:val="267A3133"/>
    <w:rsid w:val="267A740D"/>
    <w:rsid w:val="267C4F33"/>
    <w:rsid w:val="267E0CAB"/>
    <w:rsid w:val="26802C75"/>
    <w:rsid w:val="26834513"/>
    <w:rsid w:val="26855A4F"/>
    <w:rsid w:val="268631CA"/>
    <w:rsid w:val="26865DB2"/>
    <w:rsid w:val="268A3AF4"/>
    <w:rsid w:val="268A58A2"/>
    <w:rsid w:val="268D0EEE"/>
    <w:rsid w:val="268D7140"/>
    <w:rsid w:val="268F110A"/>
    <w:rsid w:val="268F16F6"/>
    <w:rsid w:val="268F456F"/>
    <w:rsid w:val="268F4C66"/>
    <w:rsid w:val="26926505"/>
    <w:rsid w:val="269404CF"/>
    <w:rsid w:val="26962499"/>
    <w:rsid w:val="26971D6D"/>
    <w:rsid w:val="26977FBF"/>
    <w:rsid w:val="26992656"/>
    <w:rsid w:val="269B7AAF"/>
    <w:rsid w:val="269C0568"/>
    <w:rsid w:val="269C55D5"/>
    <w:rsid w:val="269E5328"/>
    <w:rsid w:val="269E759F"/>
    <w:rsid w:val="269F0C21"/>
    <w:rsid w:val="26A050C5"/>
    <w:rsid w:val="26A30712"/>
    <w:rsid w:val="26A34BB6"/>
    <w:rsid w:val="26A362D9"/>
    <w:rsid w:val="26A526DC"/>
    <w:rsid w:val="26A76454"/>
    <w:rsid w:val="26A80CBB"/>
    <w:rsid w:val="26AA02F7"/>
    <w:rsid w:val="26AB5818"/>
    <w:rsid w:val="26AD77E2"/>
    <w:rsid w:val="26AF5308"/>
    <w:rsid w:val="26B134AE"/>
    <w:rsid w:val="26B20955"/>
    <w:rsid w:val="26B4291F"/>
    <w:rsid w:val="26B4725E"/>
    <w:rsid w:val="26B741BD"/>
    <w:rsid w:val="26B96187"/>
    <w:rsid w:val="26BB3CAD"/>
    <w:rsid w:val="26BE2EE1"/>
    <w:rsid w:val="26BE554B"/>
    <w:rsid w:val="26BE72FA"/>
    <w:rsid w:val="26C03072"/>
    <w:rsid w:val="26C07516"/>
    <w:rsid w:val="26C1503C"/>
    <w:rsid w:val="26C317D6"/>
    <w:rsid w:val="26C52DB4"/>
    <w:rsid w:val="26C708A4"/>
    <w:rsid w:val="26CA3EF0"/>
    <w:rsid w:val="26CC00B6"/>
    <w:rsid w:val="26CC10B7"/>
    <w:rsid w:val="26CC5EBA"/>
    <w:rsid w:val="26CD1C32"/>
    <w:rsid w:val="26CD578F"/>
    <w:rsid w:val="26CD66C9"/>
    <w:rsid w:val="26CE6247"/>
    <w:rsid w:val="26CF1507"/>
    <w:rsid w:val="26CF73F0"/>
    <w:rsid w:val="26D1527F"/>
    <w:rsid w:val="26D60AE7"/>
    <w:rsid w:val="26D703BB"/>
    <w:rsid w:val="26D7660D"/>
    <w:rsid w:val="26D94133"/>
    <w:rsid w:val="26DB434F"/>
    <w:rsid w:val="26DE799C"/>
    <w:rsid w:val="26E03714"/>
    <w:rsid w:val="26E1123A"/>
    <w:rsid w:val="26E256DE"/>
    <w:rsid w:val="26E2748C"/>
    <w:rsid w:val="26E36D60"/>
    <w:rsid w:val="26E66850"/>
    <w:rsid w:val="26E72CF4"/>
    <w:rsid w:val="26E825C8"/>
    <w:rsid w:val="26E86313"/>
    <w:rsid w:val="26EA27E4"/>
    <w:rsid w:val="26EC20B9"/>
    <w:rsid w:val="26ED7BDF"/>
    <w:rsid w:val="26F606C4"/>
    <w:rsid w:val="26F62F37"/>
    <w:rsid w:val="26F70A5D"/>
    <w:rsid w:val="26F86CAF"/>
    <w:rsid w:val="26F92A28"/>
    <w:rsid w:val="27015B5E"/>
    <w:rsid w:val="27032D56"/>
    <w:rsid w:val="27035654"/>
    <w:rsid w:val="27037402"/>
    <w:rsid w:val="27046DB7"/>
    <w:rsid w:val="27084A19"/>
    <w:rsid w:val="270C3243"/>
    <w:rsid w:val="270F5DA7"/>
    <w:rsid w:val="27115070"/>
    <w:rsid w:val="271167EA"/>
    <w:rsid w:val="2713110A"/>
    <w:rsid w:val="27135897"/>
    <w:rsid w:val="271635D9"/>
    <w:rsid w:val="27165388"/>
    <w:rsid w:val="27167136"/>
    <w:rsid w:val="271742D6"/>
    <w:rsid w:val="27181100"/>
    <w:rsid w:val="27196C26"/>
    <w:rsid w:val="271B0BF0"/>
    <w:rsid w:val="271B246D"/>
    <w:rsid w:val="271C080C"/>
    <w:rsid w:val="271C2272"/>
    <w:rsid w:val="271E248E"/>
    <w:rsid w:val="271E423C"/>
    <w:rsid w:val="271F6B87"/>
    <w:rsid w:val="27201D62"/>
    <w:rsid w:val="27223D2C"/>
    <w:rsid w:val="27231852"/>
    <w:rsid w:val="27247AA4"/>
    <w:rsid w:val="27286E69"/>
    <w:rsid w:val="27297642"/>
    <w:rsid w:val="272A2BE1"/>
    <w:rsid w:val="272E7452"/>
    <w:rsid w:val="27315D1D"/>
    <w:rsid w:val="27321A96"/>
    <w:rsid w:val="273332C4"/>
    <w:rsid w:val="2734580E"/>
    <w:rsid w:val="27361586"/>
    <w:rsid w:val="27363334"/>
    <w:rsid w:val="273677D8"/>
    <w:rsid w:val="273830D5"/>
    <w:rsid w:val="273852FE"/>
    <w:rsid w:val="27391076"/>
    <w:rsid w:val="27392E24"/>
    <w:rsid w:val="273A72C8"/>
    <w:rsid w:val="273B3040"/>
    <w:rsid w:val="273E043A"/>
    <w:rsid w:val="273E668C"/>
    <w:rsid w:val="273F48DE"/>
    <w:rsid w:val="27400656"/>
    <w:rsid w:val="274041B2"/>
    <w:rsid w:val="27435A51"/>
    <w:rsid w:val="274517C9"/>
    <w:rsid w:val="27457A1B"/>
    <w:rsid w:val="27473793"/>
    <w:rsid w:val="27475541"/>
    <w:rsid w:val="27483067"/>
    <w:rsid w:val="274A6DDF"/>
    <w:rsid w:val="274B7E0A"/>
    <w:rsid w:val="274C6FFB"/>
    <w:rsid w:val="274E2D73"/>
    <w:rsid w:val="274E4B21"/>
    <w:rsid w:val="274E52FB"/>
    <w:rsid w:val="274E68CF"/>
    <w:rsid w:val="274F43F6"/>
    <w:rsid w:val="275110AB"/>
    <w:rsid w:val="27514612"/>
    <w:rsid w:val="27545EB0"/>
    <w:rsid w:val="27565784"/>
    <w:rsid w:val="275859A0"/>
    <w:rsid w:val="275D2BA4"/>
    <w:rsid w:val="27647521"/>
    <w:rsid w:val="27675EA2"/>
    <w:rsid w:val="276A7481"/>
    <w:rsid w:val="276E0D20"/>
    <w:rsid w:val="276E51C4"/>
    <w:rsid w:val="277025E4"/>
    <w:rsid w:val="27702CEA"/>
    <w:rsid w:val="277161B0"/>
    <w:rsid w:val="27716A62"/>
    <w:rsid w:val="27736336"/>
    <w:rsid w:val="2778394C"/>
    <w:rsid w:val="27786E27"/>
    <w:rsid w:val="277A3B68"/>
    <w:rsid w:val="277C5D78"/>
    <w:rsid w:val="277D0738"/>
    <w:rsid w:val="277D0F63"/>
    <w:rsid w:val="277D71B5"/>
    <w:rsid w:val="277F4129"/>
    <w:rsid w:val="27817354"/>
    <w:rsid w:val="278422F1"/>
    <w:rsid w:val="27852B6C"/>
    <w:rsid w:val="27857F9B"/>
    <w:rsid w:val="278E4F1E"/>
    <w:rsid w:val="278F0C96"/>
    <w:rsid w:val="278F3C1E"/>
    <w:rsid w:val="27901BC1"/>
    <w:rsid w:val="27910EB2"/>
    <w:rsid w:val="27912C60"/>
    <w:rsid w:val="279309B8"/>
    <w:rsid w:val="279462AC"/>
    <w:rsid w:val="27983FEE"/>
    <w:rsid w:val="279A1B15"/>
    <w:rsid w:val="279B3ADF"/>
    <w:rsid w:val="279D33B3"/>
    <w:rsid w:val="279F35CF"/>
    <w:rsid w:val="27A110F5"/>
    <w:rsid w:val="27A24D7A"/>
    <w:rsid w:val="27A26C1B"/>
    <w:rsid w:val="27A504B9"/>
    <w:rsid w:val="27A72484"/>
    <w:rsid w:val="27A91D58"/>
    <w:rsid w:val="27A97FAA"/>
    <w:rsid w:val="27AB1CB6"/>
    <w:rsid w:val="27B32BD6"/>
    <w:rsid w:val="27B5050A"/>
    <w:rsid w:val="27B626C7"/>
    <w:rsid w:val="27B801ED"/>
    <w:rsid w:val="27B84691"/>
    <w:rsid w:val="27B92596"/>
    <w:rsid w:val="27BB0DA8"/>
    <w:rsid w:val="27BD3A55"/>
    <w:rsid w:val="27C06CD0"/>
    <w:rsid w:val="27C070A1"/>
    <w:rsid w:val="27C13545"/>
    <w:rsid w:val="27C2106B"/>
    <w:rsid w:val="27C22E19"/>
    <w:rsid w:val="27C43035"/>
    <w:rsid w:val="27C9064C"/>
    <w:rsid w:val="27C941A8"/>
    <w:rsid w:val="27CC6467"/>
    <w:rsid w:val="27D03788"/>
    <w:rsid w:val="27D33279"/>
    <w:rsid w:val="27D50D9F"/>
    <w:rsid w:val="27D52B4D"/>
    <w:rsid w:val="27D56FF1"/>
    <w:rsid w:val="27D8026B"/>
    <w:rsid w:val="27D843EB"/>
    <w:rsid w:val="27D86AE1"/>
    <w:rsid w:val="27DA63B5"/>
    <w:rsid w:val="27DC0AE4"/>
    <w:rsid w:val="27DD40F7"/>
    <w:rsid w:val="27DD5EA5"/>
    <w:rsid w:val="27DD7C53"/>
    <w:rsid w:val="27DF5779"/>
    <w:rsid w:val="27E47234"/>
    <w:rsid w:val="27E67E69"/>
    <w:rsid w:val="27E82228"/>
    <w:rsid w:val="27E9484A"/>
    <w:rsid w:val="27E965F8"/>
    <w:rsid w:val="27EA2C32"/>
    <w:rsid w:val="27EB05C2"/>
    <w:rsid w:val="27EB2370"/>
    <w:rsid w:val="27EB411E"/>
    <w:rsid w:val="27EE1E60"/>
    <w:rsid w:val="27EE3C0E"/>
    <w:rsid w:val="27EF6F5A"/>
    <w:rsid w:val="27F07987"/>
    <w:rsid w:val="27F702BD"/>
    <w:rsid w:val="27F76F67"/>
    <w:rsid w:val="27F82CDF"/>
    <w:rsid w:val="27F84A8D"/>
    <w:rsid w:val="27F966F1"/>
    <w:rsid w:val="27FA6A57"/>
    <w:rsid w:val="27FC00CE"/>
    <w:rsid w:val="27FC457D"/>
    <w:rsid w:val="27FD02F5"/>
    <w:rsid w:val="27FF7BCA"/>
    <w:rsid w:val="28017DE6"/>
    <w:rsid w:val="28043432"/>
    <w:rsid w:val="280451E0"/>
    <w:rsid w:val="28060F58"/>
    <w:rsid w:val="280653FC"/>
    <w:rsid w:val="28072F22"/>
    <w:rsid w:val="28081174"/>
    <w:rsid w:val="2810627B"/>
    <w:rsid w:val="28131C63"/>
    <w:rsid w:val="28136333"/>
    <w:rsid w:val="281C077C"/>
    <w:rsid w:val="28212236"/>
    <w:rsid w:val="28215D92"/>
    <w:rsid w:val="28221B0A"/>
    <w:rsid w:val="28247630"/>
    <w:rsid w:val="28256341"/>
    <w:rsid w:val="2828082C"/>
    <w:rsid w:val="282835C4"/>
    <w:rsid w:val="28285372"/>
    <w:rsid w:val="282B09BF"/>
    <w:rsid w:val="282F5B2E"/>
    <w:rsid w:val="28305FD5"/>
    <w:rsid w:val="28321D4D"/>
    <w:rsid w:val="283261F1"/>
    <w:rsid w:val="2835025F"/>
    <w:rsid w:val="2835183D"/>
    <w:rsid w:val="28357A8F"/>
    <w:rsid w:val="28392256"/>
    <w:rsid w:val="2839380C"/>
    <w:rsid w:val="283A32F8"/>
    <w:rsid w:val="283A6E54"/>
    <w:rsid w:val="283C0E1E"/>
    <w:rsid w:val="283D69F1"/>
    <w:rsid w:val="283E6521"/>
    <w:rsid w:val="283F26BC"/>
    <w:rsid w:val="284020F7"/>
    <w:rsid w:val="284113D3"/>
    <w:rsid w:val="28425D08"/>
    <w:rsid w:val="284321AC"/>
    <w:rsid w:val="28446343"/>
    <w:rsid w:val="284657F9"/>
    <w:rsid w:val="284B1061"/>
    <w:rsid w:val="284D4DD9"/>
    <w:rsid w:val="284E28FF"/>
    <w:rsid w:val="28520641"/>
    <w:rsid w:val="285223EF"/>
    <w:rsid w:val="28550131"/>
    <w:rsid w:val="28553C8E"/>
    <w:rsid w:val="285717B4"/>
    <w:rsid w:val="285919D0"/>
    <w:rsid w:val="285A12A4"/>
    <w:rsid w:val="285A74F6"/>
    <w:rsid w:val="285B23AE"/>
    <w:rsid w:val="285C326E"/>
    <w:rsid w:val="285C501C"/>
    <w:rsid w:val="285D2B42"/>
    <w:rsid w:val="28650375"/>
    <w:rsid w:val="286640ED"/>
    <w:rsid w:val="286730EE"/>
    <w:rsid w:val="286914E7"/>
    <w:rsid w:val="286A05DF"/>
    <w:rsid w:val="286B525F"/>
    <w:rsid w:val="286B52E0"/>
    <w:rsid w:val="286E6AFD"/>
    <w:rsid w:val="28724840"/>
    <w:rsid w:val="28732366"/>
    <w:rsid w:val="287560DE"/>
    <w:rsid w:val="2879797C"/>
    <w:rsid w:val="287A1946"/>
    <w:rsid w:val="287C746C"/>
    <w:rsid w:val="287E4F92"/>
    <w:rsid w:val="287E64FF"/>
    <w:rsid w:val="287F6F5C"/>
    <w:rsid w:val="287F7A4B"/>
    <w:rsid w:val="28836A4D"/>
    <w:rsid w:val="288527C5"/>
    <w:rsid w:val="2887212D"/>
    <w:rsid w:val="28896A8E"/>
    <w:rsid w:val="288A7DDB"/>
    <w:rsid w:val="289447B6"/>
    <w:rsid w:val="28981F1C"/>
    <w:rsid w:val="289E73E3"/>
    <w:rsid w:val="289F315B"/>
    <w:rsid w:val="28A15A4A"/>
    <w:rsid w:val="28A16C58"/>
    <w:rsid w:val="28A16ED3"/>
    <w:rsid w:val="28A30E9D"/>
    <w:rsid w:val="28A32C4B"/>
    <w:rsid w:val="28A54C15"/>
    <w:rsid w:val="28A644E9"/>
    <w:rsid w:val="28A8200F"/>
    <w:rsid w:val="28AB41A0"/>
    <w:rsid w:val="28AF339E"/>
    <w:rsid w:val="28AF35C6"/>
    <w:rsid w:val="28B07116"/>
    <w:rsid w:val="28B5297E"/>
    <w:rsid w:val="28B704A4"/>
    <w:rsid w:val="28B8032B"/>
    <w:rsid w:val="28B86934"/>
    <w:rsid w:val="28B9246E"/>
    <w:rsid w:val="28BC5ABB"/>
    <w:rsid w:val="28BF37A0"/>
    <w:rsid w:val="28C037FD"/>
    <w:rsid w:val="28C11127"/>
    <w:rsid w:val="28C3509B"/>
    <w:rsid w:val="28C36E49"/>
    <w:rsid w:val="28C52BC1"/>
    <w:rsid w:val="28C62AC5"/>
    <w:rsid w:val="28C64B8B"/>
    <w:rsid w:val="28C80903"/>
    <w:rsid w:val="28C8445F"/>
    <w:rsid w:val="28CA391A"/>
    <w:rsid w:val="28CD1A76"/>
    <w:rsid w:val="28CD7CC8"/>
    <w:rsid w:val="28CF1C92"/>
    <w:rsid w:val="28CF57EE"/>
    <w:rsid w:val="28D25F89"/>
    <w:rsid w:val="28D50537"/>
    <w:rsid w:val="28D63020"/>
    <w:rsid w:val="28D7334D"/>
    <w:rsid w:val="28DC0708"/>
    <w:rsid w:val="28DD1D90"/>
    <w:rsid w:val="28DE1ED5"/>
    <w:rsid w:val="28E05C4D"/>
    <w:rsid w:val="28E374EB"/>
    <w:rsid w:val="28E53263"/>
    <w:rsid w:val="28E55011"/>
    <w:rsid w:val="28E60D8A"/>
    <w:rsid w:val="28E72E42"/>
    <w:rsid w:val="28E86EA3"/>
    <w:rsid w:val="28E973EB"/>
    <w:rsid w:val="28EA2628"/>
    <w:rsid w:val="28EC5824"/>
    <w:rsid w:val="28EF7C3E"/>
    <w:rsid w:val="28F65471"/>
    <w:rsid w:val="28F74D45"/>
    <w:rsid w:val="28F811E9"/>
    <w:rsid w:val="28F86998"/>
    <w:rsid w:val="28F90ABD"/>
    <w:rsid w:val="28FE2577"/>
    <w:rsid w:val="2900009D"/>
    <w:rsid w:val="29003BF9"/>
    <w:rsid w:val="29015BC3"/>
    <w:rsid w:val="29020CD6"/>
    <w:rsid w:val="29037B8D"/>
    <w:rsid w:val="2907020B"/>
    <w:rsid w:val="29080D00"/>
    <w:rsid w:val="290851A4"/>
    <w:rsid w:val="290877C9"/>
    <w:rsid w:val="290A0441"/>
    <w:rsid w:val="290C4C94"/>
    <w:rsid w:val="290C4E0E"/>
    <w:rsid w:val="290C6A42"/>
    <w:rsid w:val="290E1FB6"/>
    <w:rsid w:val="290F208E"/>
    <w:rsid w:val="29114058"/>
    <w:rsid w:val="291458F7"/>
    <w:rsid w:val="29171565"/>
    <w:rsid w:val="291807B8"/>
    <w:rsid w:val="29192F0D"/>
    <w:rsid w:val="291B0A33"/>
    <w:rsid w:val="291B6C85"/>
    <w:rsid w:val="291E0523"/>
    <w:rsid w:val="291E22D1"/>
    <w:rsid w:val="291E49C7"/>
    <w:rsid w:val="291E69B1"/>
    <w:rsid w:val="291F1529"/>
    <w:rsid w:val="29207F2A"/>
    <w:rsid w:val="29233D8C"/>
    <w:rsid w:val="292518B2"/>
    <w:rsid w:val="2927387C"/>
    <w:rsid w:val="292A2A20"/>
    <w:rsid w:val="292A35F1"/>
    <w:rsid w:val="292A511A"/>
    <w:rsid w:val="292F0982"/>
    <w:rsid w:val="29312005"/>
    <w:rsid w:val="29323FCF"/>
    <w:rsid w:val="29325D7D"/>
    <w:rsid w:val="29341AF5"/>
    <w:rsid w:val="29346369"/>
    <w:rsid w:val="293715E5"/>
    <w:rsid w:val="293D4E4D"/>
    <w:rsid w:val="293D6BFB"/>
    <w:rsid w:val="293F79EC"/>
    <w:rsid w:val="294066EC"/>
    <w:rsid w:val="294206B6"/>
    <w:rsid w:val="29453D02"/>
    <w:rsid w:val="29455AB0"/>
    <w:rsid w:val="29471828"/>
    <w:rsid w:val="29475CCC"/>
    <w:rsid w:val="294855A0"/>
    <w:rsid w:val="294A1318"/>
    <w:rsid w:val="294B1BF2"/>
    <w:rsid w:val="294C6E3F"/>
    <w:rsid w:val="294D2BB7"/>
    <w:rsid w:val="294E18B8"/>
    <w:rsid w:val="294F692F"/>
    <w:rsid w:val="2953641F"/>
    <w:rsid w:val="295403E9"/>
    <w:rsid w:val="29565F0F"/>
    <w:rsid w:val="29567CBD"/>
    <w:rsid w:val="29575C73"/>
    <w:rsid w:val="29590F46"/>
    <w:rsid w:val="295C2DFA"/>
    <w:rsid w:val="295E4DC4"/>
    <w:rsid w:val="296028EA"/>
    <w:rsid w:val="29613037"/>
    <w:rsid w:val="29622B06"/>
    <w:rsid w:val="2963035C"/>
    <w:rsid w:val="29656152"/>
    <w:rsid w:val="2967011C"/>
    <w:rsid w:val="296711A1"/>
    <w:rsid w:val="296879F1"/>
    <w:rsid w:val="29693E94"/>
    <w:rsid w:val="296A19BB"/>
    <w:rsid w:val="296C5733"/>
    <w:rsid w:val="296E14AB"/>
    <w:rsid w:val="296F0D7F"/>
    <w:rsid w:val="296F6FD1"/>
    <w:rsid w:val="2973086F"/>
    <w:rsid w:val="29736AC1"/>
    <w:rsid w:val="297445E7"/>
    <w:rsid w:val="297638AE"/>
    <w:rsid w:val="29763EBB"/>
    <w:rsid w:val="29785E86"/>
    <w:rsid w:val="2979112F"/>
    <w:rsid w:val="297939AC"/>
    <w:rsid w:val="297B3BC8"/>
    <w:rsid w:val="297E088B"/>
    <w:rsid w:val="298011DE"/>
    <w:rsid w:val="29820AB2"/>
    <w:rsid w:val="29833889"/>
    <w:rsid w:val="298365D8"/>
    <w:rsid w:val="298505A2"/>
    <w:rsid w:val="298567F4"/>
    <w:rsid w:val="2987256D"/>
    <w:rsid w:val="298760C9"/>
    <w:rsid w:val="29883BEF"/>
    <w:rsid w:val="298A4358"/>
    <w:rsid w:val="298A7967"/>
    <w:rsid w:val="298C1EE1"/>
    <w:rsid w:val="298C78AB"/>
    <w:rsid w:val="298F31CF"/>
    <w:rsid w:val="298F4974"/>
    <w:rsid w:val="298F4ADE"/>
    <w:rsid w:val="29907A47"/>
    <w:rsid w:val="29910CF5"/>
    <w:rsid w:val="29930F11"/>
    <w:rsid w:val="29954C89"/>
    <w:rsid w:val="29955C15"/>
    <w:rsid w:val="29961AA4"/>
    <w:rsid w:val="2996455E"/>
    <w:rsid w:val="2996630C"/>
    <w:rsid w:val="299A22BA"/>
    <w:rsid w:val="299B28B1"/>
    <w:rsid w:val="299F78B6"/>
    <w:rsid w:val="29A0718A"/>
    <w:rsid w:val="29A24CB1"/>
    <w:rsid w:val="29A5570A"/>
    <w:rsid w:val="29A70519"/>
    <w:rsid w:val="29A749BD"/>
    <w:rsid w:val="29AA0DEC"/>
    <w:rsid w:val="29AA157C"/>
    <w:rsid w:val="29AC36EE"/>
    <w:rsid w:val="29AC5B2F"/>
    <w:rsid w:val="29AE2ACE"/>
    <w:rsid w:val="29AF561F"/>
    <w:rsid w:val="29B1124A"/>
    <w:rsid w:val="29B11398"/>
    <w:rsid w:val="29B13146"/>
    <w:rsid w:val="29B1687E"/>
    <w:rsid w:val="29B217B9"/>
    <w:rsid w:val="29B35110"/>
    <w:rsid w:val="29B449E4"/>
    <w:rsid w:val="29B82726"/>
    <w:rsid w:val="29B844D4"/>
    <w:rsid w:val="29BB2501"/>
    <w:rsid w:val="29BF3A53"/>
    <w:rsid w:val="29C115CC"/>
    <w:rsid w:val="29C32DCD"/>
    <w:rsid w:val="29C56BF1"/>
    <w:rsid w:val="29C73EC4"/>
    <w:rsid w:val="29CC15A3"/>
    <w:rsid w:val="29CC5744"/>
    <w:rsid w:val="29CC7F7F"/>
    <w:rsid w:val="29CE1F49"/>
    <w:rsid w:val="29CE3CF8"/>
    <w:rsid w:val="29CE5AA6"/>
    <w:rsid w:val="29D44611"/>
    <w:rsid w:val="29D532D8"/>
    <w:rsid w:val="29D56A0E"/>
    <w:rsid w:val="29D67050"/>
    <w:rsid w:val="29D84B76"/>
    <w:rsid w:val="29DA08EE"/>
    <w:rsid w:val="29DA5A8A"/>
    <w:rsid w:val="29DA6B40"/>
    <w:rsid w:val="29DB01C2"/>
    <w:rsid w:val="29DB03AA"/>
    <w:rsid w:val="29DB1DB9"/>
    <w:rsid w:val="29DD218D"/>
    <w:rsid w:val="29E057D9"/>
    <w:rsid w:val="29E11C7D"/>
    <w:rsid w:val="29E269C2"/>
    <w:rsid w:val="29E4170D"/>
    <w:rsid w:val="29E654E5"/>
    <w:rsid w:val="29E928DF"/>
    <w:rsid w:val="29EA6657"/>
    <w:rsid w:val="29EB2AFB"/>
    <w:rsid w:val="29EC6874"/>
    <w:rsid w:val="29EE7EF6"/>
    <w:rsid w:val="29EF2334"/>
    <w:rsid w:val="29EF3C6E"/>
    <w:rsid w:val="29F0067F"/>
    <w:rsid w:val="29F01EC0"/>
    <w:rsid w:val="29F0536A"/>
    <w:rsid w:val="29F23811"/>
    <w:rsid w:val="29F85218"/>
    <w:rsid w:val="29FA4AED"/>
    <w:rsid w:val="29FA689B"/>
    <w:rsid w:val="2A021BF3"/>
    <w:rsid w:val="2A0239A1"/>
    <w:rsid w:val="2A047719"/>
    <w:rsid w:val="2A0B6CFA"/>
    <w:rsid w:val="2A0D0CC4"/>
    <w:rsid w:val="2A0F07CB"/>
    <w:rsid w:val="2A0F7976"/>
    <w:rsid w:val="2A104310"/>
    <w:rsid w:val="2A1060BE"/>
    <w:rsid w:val="2A111E36"/>
    <w:rsid w:val="2A12304A"/>
    <w:rsid w:val="2A135BAE"/>
    <w:rsid w:val="2A157B78"/>
    <w:rsid w:val="2A1738F0"/>
    <w:rsid w:val="2A193D21"/>
    <w:rsid w:val="2A1D189D"/>
    <w:rsid w:val="2A1F1052"/>
    <w:rsid w:val="2A1F27A5"/>
    <w:rsid w:val="2A202079"/>
    <w:rsid w:val="2A211880"/>
    <w:rsid w:val="2A225DF1"/>
    <w:rsid w:val="2A247DBB"/>
    <w:rsid w:val="2A250C34"/>
    <w:rsid w:val="2A273408"/>
    <w:rsid w:val="2A275520"/>
    <w:rsid w:val="2A2B61C7"/>
    <w:rsid w:val="2A2B739C"/>
    <w:rsid w:val="2A2C0A1E"/>
    <w:rsid w:val="2A2D4EC2"/>
    <w:rsid w:val="2A2E29E8"/>
    <w:rsid w:val="2A3049B2"/>
    <w:rsid w:val="2A32072A"/>
    <w:rsid w:val="2A331DAD"/>
    <w:rsid w:val="2A336250"/>
    <w:rsid w:val="2A337FFE"/>
    <w:rsid w:val="2A353D77"/>
    <w:rsid w:val="2A383867"/>
    <w:rsid w:val="2A391AB9"/>
    <w:rsid w:val="2A3A7521"/>
    <w:rsid w:val="2A3F69A3"/>
    <w:rsid w:val="2A41271B"/>
    <w:rsid w:val="2A4144C9"/>
    <w:rsid w:val="2A420242"/>
    <w:rsid w:val="2A426494"/>
    <w:rsid w:val="2A4346E5"/>
    <w:rsid w:val="2A443FBA"/>
    <w:rsid w:val="2A446AAD"/>
    <w:rsid w:val="2A461AE0"/>
    <w:rsid w:val="2A461F39"/>
    <w:rsid w:val="2A467D32"/>
    <w:rsid w:val="2A475858"/>
    <w:rsid w:val="2A481CFC"/>
    <w:rsid w:val="2A48639C"/>
    <w:rsid w:val="2A4A0D9B"/>
    <w:rsid w:val="2A4B5348"/>
    <w:rsid w:val="2A4E308A"/>
    <w:rsid w:val="2A4E4E38"/>
    <w:rsid w:val="2A51704C"/>
    <w:rsid w:val="2A5561C7"/>
    <w:rsid w:val="2A557F75"/>
    <w:rsid w:val="2A561A2E"/>
    <w:rsid w:val="2A573CED"/>
    <w:rsid w:val="2A581813"/>
    <w:rsid w:val="2A585CB7"/>
    <w:rsid w:val="2A5A37DD"/>
    <w:rsid w:val="2A5A558B"/>
    <w:rsid w:val="2A5E151F"/>
    <w:rsid w:val="2A5F2BA2"/>
    <w:rsid w:val="2A5F7045"/>
    <w:rsid w:val="2A6308E4"/>
    <w:rsid w:val="2A636B36"/>
    <w:rsid w:val="2A64465C"/>
    <w:rsid w:val="2A6449A7"/>
    <w:rsid w:val="2A6603D4"/>
    <w:rsid w:val="2A68414C"/>
    <w:rsid w:val="2A684D25"/>
    <w:rsid w:val="2A687324"/>
    <w:rsid w:val="2A697EC4"/>
    <w:rsid w:val="2A6B1546"/>
    <w:rsid w:val="2A6B59EA"/>
    <w:rsid w:val="2A6B7798"/>
    <w:rsid w:val="2A6C52BE"/>
    <w:rsid w:val="2A6D1762"/>
    <w:rsid w:val="2A6F47D0"/>
    <w:rsid w:val="2A7009E8"/>
    <w:rsid w:val="2A704DAF"/>
    <w:rsid w:val="2A716E99"/>
    <w:rsid w:val="2A73489F"/>
    <w:rsid w:val="2A73664D"/>
    <w:rsid w:val="2A7A5C2D"/>
    <w:rsid w:val="2A7A5D12"/>
    <w:rsid w:val="2A7A79DB"/>
    <w:rsid w:val="2A7C3754"/>
    <w:rsid w:val="2A7C7BF7"/>
    <w:rsid w:val="2A7D74CC"/>
    <w:rsid w:val="2A7E571E"/>
    <w:rsid w:val="2A7F1496"/>
    <w:rsid w:val="2A7F3244"/>
    <w:rsid w:val="2A7F4FF2"/>
    <w:rsid w:val="2A830C0B"/>
    <w:rsid w:val="2A842608"/>
    <w:rsid w:val="2A856BE0"/>
    <w:rsid w:val="2A8B3997"/>
    <w:rsid w:val="2A8E5901"/>
    <w:rsid w:val="2A900FAD"/>
    <w:rsid w:val="2A9036A3"/>
    <w:rsid w:val="2A9071FF"/>
    <w:rsid w:val="2A9211C9"/>
    <w:rsid w:val="2A950CB9"/>
    <w:rsid w:val="2A954815"/>
    <w:rsid w:val="2A96076A"/>
    <w:rsid w:val="2A9767DF"/>
    <w:rsid w:val="2A992557"/>
    <w:rsid w:val="2A9A5842"/>
    <w:rsid w:val="2A9C2048"/>
    <w:rsid w:val="2A9C3B72"/>
    <w:rsid w:val="2A9C3DF6"/>
    <w:rsid w:val="2AA016B4"/>
    <w:rsid w:val="2AA1140C"/>
    <w:rsid w:val="2AA17288"/>
    <w:rsid w:val="2AA42CAA"/>
    <w:rsid w:val="2AA607D0"/>
    <w:rsid w:val="2AA84549"/>
    <w:rsid w:val="2AAC13F4"/>
    <w:rsid w:val="2AAD1B5F"/>
    <w:rsid w:val="2AAD6003"/>
    <w:rsid w:val="2AAF1D7B"/>
    <w:rsid w:val="2AB078A1"/>
    <w:rsid w:val="2AB54EB7"/>
    <w:rsid w:val="2AB56C65"/>
    <w:rsid w:val="2ABA24CE"/>
    <w:rsid w:val="2ABD4763"/>
    <w:rsid w:val="2ABE3D6C"/>
    <w:rsid w:val="2AC31382"/>
    <w:rsid w:val="2AC375D4"/>
    <w:rsid w:val="2AC450FA"/>
    <w:rsid w:val="2AC47F35"/>
    <w:rsid w:val="2AC86999"/>
    <w:rsid w:val="2ACB46DB"/>
    <w:rsid w:val="2ACD2201"/>
    <w:rsid w:val="2AD0584D"/>
    <w:rsid w:val="2AD27817"/>
    <w:rsid w:val="2AD30526"/>
    <w:rsid w:val="2AD417E1"/>
    <w:rsid w:val="2AD45722"/>
    <w:rsid w:val="2AD57308"/>
    <w:rsid w:val="2AD760AB"/>
    <w:rsid w:val="2AD76BDC"/>
    <w:rsid w:val="2AD96DF8"/>
    <w:rsid w:val="2ADB00E5"/>
    <w:rsid w:val="2AE00186"/>
    <w:rsid w:val="2AE01F34"/>
    <w:rsid w:val="2AE16896"/>
    <w:rsid w:val="2AE2430F"/>
    <w:rsid w:val="2AE34015"/>
    <w:rsid w:val="2AE412F9"/>
    <w:rsid w:val="2AE5754B"/>
    <w:rsid w:val="2AE676A9"/>
    <w:rsid w:val="2AE8703B"/>
    <w:rsid w:val="2AEA2DB3"/>
    <w:rsid w:val="2AED771C"/>
    <w:rsid w:val="2AEF2177"/>
    <w:rsid w:val="2AEF3F25"/>
    <w:rsid w:val="2AEF71FD"/>
    <w:rsid w:val="2AF07C9E"/>
    <w:rsid w:val="2AF21C68"/>
    <w:rsid w:val="2AF23C78"/>
    <w:rsid w:val="2AF4778E"/>
    <w:rsid w:val="2AF61758"/>
    <w:rsid w:val="2AF7102C"/>
    <w:rsid w:val="2AF7636C"/>
    <w:rsid w:val="2AF92FF6"/>
    <w:rsid w:val="2AFC4894"/>
    <w:rsid w:val="2AFD492E"/>
    <w:rsid w:val="2AFE685E"/>
    <w:rsid w:val="2AFF3560"/>
    <w:rsid w:val="2B0032AF"/>
    <w:rsid w:val="2B033E75"/>
    <w:rsid w:val="2B05199B"/>
    <w:rsid w:val="2B053749"/>
    <w:rsid w:val="2B060B84"/>
    <w:rsid w:val="2B073965"/>
    <w:rsid w:val="2B0907D2"/>
    <w:rsid w:val="2B0A5203"/>
    <w:rsid w:val="2B0C5B64"/>
    <w:rsid w:val="2B0E0484"/>
    <w:rsid w:val="2B0F281A"/>
    <w:rsid w:val="2B0F45C8"/>
    <w:rsid w:val="2B12010E"/>
    <w:rsid w:val="2B12230A"/>
    <w:rsid w:val="2B14398C"/>
    <w:rsid w:val="2B147E30"/>
    <w:rsid w:val="2B151618"/>
    <w:rsid w:val="2B1716CE"/>
    <w:rsid w:val="2B17347C"/>
    <w:rsid w:val="2B177920"/>
    <w:rsid w:val="2B195597"/>
    <w:rsid w:val="2B1971F4"/>
    <w:rsid w:val="2B1C0A93"/>
    <w:rsid w:val="2B1D5868"/>
    <w:rsid w:val="2B1D6AE9"/>
    <w:rsid w:val="2B1D6E2F"/>
    <w:rsid w:val="2B1E2A5D"/>
    <w:rsid w:val="2B213424"/>
    <w:rsid w:val="2B2142FB"/>
    <w:rsid w:val="2B25203D"/>
    <w:rsid w:val="2B2636BF"/>
    <w:rsid w:val="2B277B63"/>
    <w:rsid w:val="2B2A651C"/>
    <w:rsid w:val="2B2D0EF2"/>
    <w:rsid w:val="2B2D7144"/>
    <w:rsid w:val="2B2F6A18"/>
    <w:rsid w:val="2B312790"/>
    <w:rsid w:val="2B391645"/>
    <w:rsid w:val="2B395AE8"/>
    <w:rsid w:val="2B3B716B"/>
    <w:rsid w:val="2B3D4D7E"/>
    <w:rsid w:val="2B404781"/>
    <w:rsid w:val="2B413339"/>
    <w:rsid w:val="2B414821"/>
    <w:rsid w:val="2B42499D"/>
    <w:rsid w:val="2B427374"/>
    <w:rsid w:val="2B430715"/>
    <w:rsid w:val="2B430FEA"/>
    <w:rsid w:val="2B45448D"/>
    <w:rsid w:val="2B485D2C"/>
    <w:rsid w:val="2B4A5600"/>
    <w:rsid w:val="2B4C581C"/>
    <w:rsid w:val="2B4D3342"/>
    <w:rsid w:val="2B4F2C16"/>
    <w:rsid w:val="2B502995"/>
    <w:rsid w:val="2B514BE0"/>
    <w:rsid w:val="2B5164A1"/>
    <w:rsid w:val="2B520958"/>
    <w:rsid w:val="2B5841C1"/>
    <w:rsid w:val="2B585F6F"/>
    <w:rsid w:val="2B591CE7"/>
    <w:rsid w:val="2B5A30BA"/>
    <w:rsid w:val="2B5B5A5F"/>
    <w:rsid w:val="2B5E540C"/>
    <w:rsid w:val="2B5E5CEF"/>
    <w:rsid w:val="2B5E72FD"/>
    <w:rsid w:val="2B603075"/>
    <w:rsid w:val="2B621401"/>
    <w:rsid w:val="2B631F9F"/>
    <w:rsid w:val="2B65068C"/>
    <w:rsid w:val="2B683CD8"/>
    <w:rsid w:val="2B6A7A50"/>
    <w:rsid w:val="2B6B0F88"/>
    <w:rsid w:val="2B6C1A1A"/>
    <w:rsid w:val="2B6F150A"/>
    <w:rsid w:val="2B6F32B8"/>
    <w:rsid w:val="2B710DDE"/>
    <w:rsid w:val="2B732DA8"/>
    <w:rsid w:val="2B77216D"/>
    <w:rsid w:val="2B7B1C5D"/>
    <w:rsid w:val="2B7B3A0B"/>
    <w:rsid w:val="2B7D3C27"/>
    <w:rsid w:val="2B7E174D"/>
    <w:rsid w:val="2B7F799F"/>
    <w:rsid w:val="2B822FEC"/>
    <w:rsid w:val="2B8313B8"/>
    <w:rsid w:val="2B85488A"/>
    <w:rsid w:val="2B87043E"/>
    <w:rsid w:val="2B874618"/>
    <w:rsid w:val="2B874C0D"/>
    <w:rsid w:val="2B876854"/>
    <w:rsid w:val="2B893597"/>
    <w:rsid w:val="2B8A00F2"/>
    <w:rsid w:val="2B8D373E"/>
    <w:rsid w:val="2B8E7BE2"/>
    <w:rsid w:val="2B911481"/>
    <w:rsid w:val="2B91322F"/>
    <w:rsid w:val="2B920D55"/>
    <w:rsid w:val="2B936FA7"/>
    <w:rsid w:val="2B944ACD"/>
    <w:rsid w:val="2B95696A"/>
    <w:rsid w:val="2B960845"/>
    <w:rsid w:val="2B960A8A"/>
    <w:rsid w:val="2B966A97"/>
    <w:rsid w:val="2B97384F"/>
    <w:rsid w:val="2B9766A3"/>
    <w:rsid w:val="2B9845BD"/>
    <w:rsid w:val="2B9920E3"/>
    <w:rsid w:val="2B992635"/>
    <w:rsid w:val="2B995AE1"/>
    <w:rsid w:val="2B9E594C"/>
    <w:rsid w:val="2BA07916"/>
    <w:rsid w:val="2BA1664E"/>
    <w:rsid w:val="2BA678EF"/>
    <w:rsid w:val="2BA70CA4"/>
    <w:rsid w:val="2BA86521"/>
    <w:rsid w:val="2BA94A1C"/>
    <w:rsid w:val="2BAC1E16"/>
    <w:rsid w:val="2BAD59E4"/>
    <w:rsid w:val="2BAD5B8F"/>
    <w:rsid w:val="2BAE2033"/>
    <w:rsid w:val="2BB138D1"/>
    <w:rsid w:val="2BB4516F"/>
    <w:rsid w:val="2BB60EE7"/>
    <w:rsid w:val="2BB86A0D"/>
    <w:rsid w:val="2BB92149"/>
    <w:rsid w:val="2BBA3532"/>
    <w:rsid w:val="2BBB02AC"/>
    <w:rsid w:val="2BBB474F"/>
    <w:rsid w:val="2BBE65D0"/>
    <w:rsid w:val="2BBE7D9C"/>
    <w:rsid w:val="2BBF5FEE"/>
    <w:rsid w:val="2BC37160"/>
    <w:rsid w:val="2BC43604"/>
    <w:rsid w:val="2BC453B2"/>
    <w:rsid w:val="2BC730F4"/>
    <w:rsid w:val="2BC76C50"/>
    <w:rsid w:val="2BCA04EF"/>
    <w:rsid w:val="2BCB017A"/>
    <w:rsid w:val="2BCB1D93"/>
    <w:rsid w:val="2BCC070B"/>
    <w:rsid w:val="2BCC24B9"/>
    <w:rsid w:val="2BCC5B11"/>
    <w:rsid w:val="2BCD020C"/>
    <w:rsid w:val="2BCE6231"/>
    <w:rsid w:val="2BCF0790"/>
    <w:rsid w:val="2BD02B5C"/>
    <w:rsid w:val="2BD355F5"/>
    <w:rsid w:val="2BD650E5"/>
    <w:rsid w:val="2BD77ACC"/>
    <w:rsid w:val="2BD80E5D"/>
    <w:rsid w:val="2BDA2E28"/>
    <w:rsid w:val="2BDA4BD6"/>
    <w:rsid w:val="2BDD0222"/>
    <w:rsid w:val="2BDD46C6"/>
    <w:rsid w:val="2BDD6474"/>
    <w:rsid w:val="2BDE550C"/>
    <w:rsid w:val="2BE315B0"/>
    <w:rsid w:val="2BE5357A"/>
    <w:rsid w:val="2BE710A1"/>
    <w:rsid w:val="2BE75544"/>
    <w:rsid w:val="2BE9306B"/>
    <w:rsid w:val="2BE94E19"/>
    <w:rsid w:val="2BEA3703"/>
    <w:rsid w:val="2BEC2335"/>
    <w:rsid w:val="2BEC4909"/>
    <w:rsid w:val="2BEE242F"/>
    <w:rsid w:val="2BEE3514"/>
    <w:rsid w:val="2BEF4EFD"/>
    <w:rsid w:val="2BEF50B2"/>
    <w:rsid w:val="2BEF61A7"/>
    <w:rsid w:val="2BF15C13"/>
    <w:rsid w:val="2BF33EE9"/>
    <w:rsid w:val="2BF67536"/>
    <w:rsid w:val="2BF77448"/>
    <w:rsid w:val="2BF929E2"/>
    <w:rsid w:val="2C016606"/>
    <w:rsid w:val="2C041A4C"/>
    <w:rsid w:val="2C071743"/>
    <w:rsid w:val="2C0717BF"/>
    <w:rsid w:val="2C0757FC"/>
    <w:rsid w:val="2C077995"/>
    <w:rsid w:val="2C09468E"/>
    <w:rsid w:val="2C0C373D"/>
    <w:rsid w:val="2C0C6063"/>
    <w:rsid w:val="2C0F23A5"/>
    <w:rsid w:val="2C1005F7"/>
    <w:rsid w:val="2C131E96"/>
    <w:rsid w:val="2C1520B2"/>
    <w:rsid w:val="2C157D1E"/>
    <w:rsid w:val="2C163734"/>
    <w:rsid w:val="2C167BD8"/>
    <w:rsid w:val="2C1950D5"/>
    <w:rsid w:val="2C1E2EF5"/>
    <w:rsid w:val="2C2045B2"/>
    <w:rsid w:val="2C2220D9"/>
    <w:rsid w:val="2C22657D"/>
    <w:rsid w:val="2C231B78"/>
    <w:rsid w:val="2C251BC9"/>
    <w:rsid w:val="2C267E1B"/>
    <w:rsid w:val="2C29642F"/>
    <w:rsid w:val="2C29790B"/>
    <w:rsid w:val="2C2A4C66"/>
    <w:rsid w:val="2C2A71DF"/>
    <w:rsid w:val="2C2C73FB"/>
    <w:rsid w:val="2C3047F6"/>
    <w:rsid w:val="2C31056E"/>
    <w:rsid w:val="2C3167C0"/>
    <w:rsid w:val="2C324A12"/>
    <w:rsid w:val="2C33078A"/>
    <w:rsid w:val="2C3D46EC"/>
    <w:rsid w:val="2C41055E"/>
    <w:rsid w:val="2C416E1D"/>
    <w:rsid w:val="2C46226B"/>
    <w:rsid w:val="2C477D91"/>
    <w:rsid w:val="2C4A438D"/>
    <w:rsid w:val="2C4D406C"/>
    <w:rsid w:val="2C4E6D35"/>
    <w:rsid w:val="2C5030EA"/>
    <w:rsid w:val="2C504E98"/>
    <w:rsid w:val="2C526E62"/>
    <w:rsid w:val="2C532BDA"/>
    <w:rsid w:val="2C534988"/>
    <w:rsid w:val="2C55425C"/>
    <w:rsid w:val="2C570D4D"/>
    <w:rsid w:val="2C574478"/>
    <w:rsid w:val="2C5A5D16"/>
    <w:rsid w:val="2C5C383D"/>
    <w:rsid w:val="2C5D59A6"/>
    <w:rsid w:val="2C5D75B5"/>
    <w:rsid w:val="2C5F157F"/>
    <w:rsid w:val="2C602C01"/>
    <w:rsid w:val="2C6170A5"/>
    <w:rsid w:val="2C666469"/>
    <w:rsid w:val="2C6721E1"/>
    <w:rsid w:val="2C673F8F"/>
    <w:rsid w:val="2C695F59"/>
    <w:rsid w:val="2C6B1CD2"/>
    <w:rsid w:val="2C6E17C2"/>
    <w:rsid w:val="2C6E3570"/>
    <w:rsid w:val="2C6E757B"/>
    <w:rsid w:val="2C710A1F"/>
    <w:rsid w:val="2C7147BB"/>
    <w:rsid w:val="2C732934"/>
    <w:rsid w:val="2C772424"/>
    <w:rsid w:val="2C7768C8"/>
    <w:rsid w:val="2C78619D"/>
    <w:rsid w:val="2C7A0167"/>
    <w:rsid w:val="2C7C3EDF"/>
    <w:rsid w:val="2C7D1A05"/>
    <w:rsid w:val="2C7F4C87"/>
    <w:rsid w:val="2C8130AA"/>
    <w:rsid w:val="2C8142B0"/>
    <w:rsid w:val="2C820DC9"/>
    <w:rsid w:val="2C82701B"/>
    <w:rsid w:val="2C83526D"/>
    <w:rsid w:val="2C840FE5"/>
    <w:rsid w:val="2C844B41"/>
    <w:rsid w:val="2C8601BB"/>
    <w:rsid w:val="2C8608B9"/>
    <w:rsid w:val="2C864D5D"/>
    <w:rsid w:val="2C8815B2"/>
    <w:rsid w:val="2C8903AA"/>
    <w:rsid w:val="2C89251E"/>
    <w:rsid w:val="2C8B5ED0"/>
    <w:rsid w:val="2C8C13C3"/>
    <w:rsid w:val="2C8C39F6"/>
    <w:rsid w:val="2C8D7E9A"/>
    <w:rsid w:val="2C8E3C12"/>
    <w:rsid w:val="2C931228"/>
    <w:rsid w:val="2C932FD6"/>
    <w:rsid w:val="2C934D84"/>
    <w:rsid w:val="2C9366C5"/>
    <w:rsid w:val="2C947B55"/>
    <w:rsid w:val="2C950AFD"/>
    <w:rsid w:val="2C9764D6"/>
    <w:rsid w:val="2C9A4365"/>
    <w:rsid w:val="2C9A6113"/>
    <w:rsid w:val="2C9C1E8B"/>
    <w:rsid w:val="2C9C632F"/>
    <w:rsid w:val="2C9C63F3"/>
    <w:rsid w:val="2C9E20A7"/>
    <w:rsid w:val="2C9F7BCD"/>
    <w:rsid w:val="2CA13945"/>
    <w:rsid w:val="2CA23219"/>
    <w:rsid w:val="2CA46F92"/>
    <w:rsid w:val="2CA70830"/>
    <w:rsid w:val="2CA86A82"/>
    <w:rsid w:val="2CA945A8"/>
    <w:rsid w:val="2CAB47C4"/>
    <w:rsid w:val="2CAB6572"/>
    <w:rsid w:val="2CAE2083"/>
    <w:rsid w:val="2CAE4A0E"/>
    <w:rsid w:val="2CAF439D"/>
    <w:rsid w:val="2CB17017"/>
    <w:rsid w:val="2CB371D5"/>
    <w:rsid w:val="2CB468A6"/>
    <w:rsid w:val="2CB5119F"/>
    <w:rsid w:val="2CB573F1"/>
    <w:rsid w:val="2CB90C8F"/>
    <w:rsid w:val="2CBA4A07"/>
    <w:rsid w:val="2CBA67B5"/>
    <w:rsid w:val="2CBD2EB2"/>
    <w:rsid w:val="2CBF3DCB"/>
    <w:rsid w:val="2CC94C4A"/>
    <w:rsid w:val="2CCB2770"/>
    <w:rsid w:val="2CCB451E"/>
    <w:rsid w:val="2CCD0296"/>
    <w:rsid w:val="2CCD64E8"/>
    <w:rsid w:val="2CCE4AFC"/>
    <w:rsid w:val="2CCF04B2"/>
    <w:rsid w:val="2CD21D51"/>
    <w:rsid w:val="2CD47877"/>
    <w:rsid w:val="2CD71115"/>
    <w:rsid w:val="2CD94E8D"/>
    <w:rsid w:val="2CDA0C05"/>
    <w:rsid w:val="2CDA29B3"/>
    <w:rsid w:val="2CDC2BCF"/>
    <w:rsid w:val="2CDC497D"/>
    <w:rsid w:val="2CDE06F5"/>
    <w:rsid w:val="2CDE23AC"/>
    <w:rsid w:val="2CDF621C"/>
    <w:rsid w:val="2CE11F94"/>
    <w:rsid w:val="2CE455E0"/>
    <w:rsid w:val="2CE848EE"/>
    <w:rsid w:val="2CE90E48"/>
    <w:rsid w:val="2CEB2E12"/>
    <w:rsid w:val="2CEB4BC0"/>
    <w:rsid w:val="2CEB696E"/>
    <w:rsid w:val="2CEE645F"/>
    <w:rsid w:val="2CF021D7"/>
    <w:rsid w:val="2CF1492A"/>
    <w:rsid w:val="2CF6225B"/>
    <w:rsid w:val="2CF73565"/>
    <w:rsid w:val="2CF9108B"/>
    <w:rsid w:val="2CF9552F"/>
    <w:rsid w:val="2CFB18D4"/>
    <w:rsid w:val="2CFC41F4"/>
    <w:rsid w:val="2D016192"/>
    <w:rsid w:val="2D0217A7"/>
    <w:rsid w:val="2D0772C2"/>
    <w:rsid w:val="2D085772"/>
    <w:rsid w:val="2D095047"/>
    <w:rsid w:val="2D0A3299"/>
    <w:rsid w:val="2D0B0DBF"/>
    <w:rsid w:val="2D0B1B07"/>
    <w:rsid w:val="2D0B7011"/>
    <w:rsid w:val="2D0D2D89"/>
    <w:rsid w:val="2D0E057D"/>
    <w:rsid w:val="2D0E6608"/>
    <w:rsid w:val="2D0F08AF"/>
    <w:rsid w:val="2D102879"/>
    <w:rsid w:val="2D104627"/>
    <w:rsid w:val="2D1063D5"/>
    <w:rsid w:val="2D1265F1"/>
    <w:rsid w:val="2D151C3D"/>
    <w:rsid w:val="2D157E8F"/>
    <w:rsid w:val="2D1660E1"/>
    <w:rsid w:val="2D173C07"/>
    <w:rsid w:val="2D19172E"/>
    <w:rsid w:val="2D1A7254"/>
    <w:rsid w:val="2D1B54A6"/>
    <w:rsid w:val="2D1C2FCC"/>
    <w:rsid w:val="2D1E0AF2"/>
    <w:rsid w:val="2D1F2DE3"/>
    <w:rsid w:val="2D200D0E"/>
    <w:rsid w:val="2D2105E2"/>
    <w:rsid w:val="2D214A86"/>
    <w:rsid w:val="2D23435A"/>
    <w:rsid w:val="2D2500D2"/>
    <w:rsid w:val="2D281971"/>
    <w:rsid w:val="2D297497"/>
    <w:rsid w:val="2D2B2033"/>
    <w:rsid w:val="2D2D342B"/>
    <w:rsid w:val="2D2D6F87"/>
    <w:rsid w:val="2D300825"/>
    <w:rsid w:val="2D3070C6"/>
    <w:rsid w:val="2D3130E3"/>
    <w:rsid w:val="2D3305D4"/>
    <w:rsid w:val="2D3622E0"/>
    <w:rsid w:val="2D366F55"/>
    <w:rsid w:val="2D371BB4"/>
    <w:rsid w:val="2D3B5B48"/>
    <w:rsid w:val="2D3B78F6"/>
    <w:rsid w:val="2D3C366E"/>
    <w:rsid w:val="2D3C541C"/>
    <w:rsid w:val="2D3E1194"/>
    <w:rsid w:val="2D3E2F42"/>
    <w:rsid w:val="2D3E73E6"/>
    <w:rsid w:val="2D404F0C"/>
    <w:rsid w:val="2D410C84"/>
    <w:rsid w:val="2D4349FC"/>
    <w:rsid w:val="2D4542D1"/>
    <w:rsid w:val="2D46629B"/>
    <w:rsid w:val="2D4744ED"/>
    <w:rsid w:val="2D48136A"/>
    <w:rsid w:val="2D483DC1"/>
    <w:rsid w:val="2D485B6F"/>
    <w:rsid w:val="2D4973F6"/>
    <w:rsid w:val="2D4A53CB"/>
    <w:rsid w:val="2D4B28DF"/>
    <w:rsid w:val="2D4B565F"/>
    <w:rsid w:val="2D4C1B03"/>
    <w:rsid w:val="2D4D0A9B"/>
    <w:rsid w:val="2D4D13D7"/>
    <w:rsid w:val="2D4F15F3"/>
    <w:rsid w:val="2D4F6EFD"/>
    <w:rsid w:val="2D502C75"/>
    <w:rsid w:val="2D507AFC"/>
    <w:rsid w:val="2D520602"/>
    <w:rsid w:val="2D564730"/>
    <w:rsid w:val="2D5664DE"/>
    <w:rsid w:val="2D5704A8"/>
    <w:rsid w:val="2D5B1D46"/>
    <w:rsid w:val="2D5C161A"/>
    <w:rsid w:val="2D621327"/>
    <w:rsid w:val="2D656721"/>
    <w:rsid w:val="2D6F075A"/>
    <w:rsid w:val="2D6F57F1"/>
    <w:rsid w:val="2D6F75A0"/>
    <w:rsid w:val="2D71156A"/>
    <w:rsid w:val="2D7352E2"/>
    <w:rsid w:val="2D746964"/>
    <w:rsid w:val="2D7626DC"/>
    <w:rsid w:val="2D7921CC"/>
    <w:rsid w:val="2D7B7CF2"/>
    <w:rsid w:val="2D7D63DD"/>
    <w:rsid w:val="2D7E3C87"/>
    <w:rsid w:val="2D80355B"/>
    <w:rsid w:val="2D811081"/>
    <w:rsid w:val="2D850759"/>
    <w:rsid w:val="2D850B71"/>
    <w:rsid w:val="2D855015"/>
    <w:rsid w:val="2D8748E9"/>
    <w:rsid w:val="2D875411"/>
    <w:rsid w:val="2D8774C4"/>
    <w:rsid w:val="2D8A262B"/>
    <w:rsid w:val="2D8D3ECA"/>
    <w:rsid w:val="2D8E0F2E"/>
    <w:rsid w:val="2D8F19F0"/>
    <w:rsid w:val="2D8F2515"/>
    <w:rsid w:val="2D917516"/>
    <w:rsid w:val="2D925870"/>
    <w:rsid w:val="2D937732"/>
    <w:rsid w:val="2D957971"/>
    <w:rsid w:val="2D960FD0"/>
    <w:rsid w:val="2D966117"/>
    <w:rsid w:val="2D99461C"/>
    <w:rsid w:val="2D9B2143"/>
    <w:rsid w:val="2D9C4F6B"/>
    <w:rsid w:val="2D9C5EBB"/>
    <w:rsid w:val="2D9D235F"/>
    <w:rsid w:val="2D9D410D"/>
    <w:rsid w:val="2D9E7E85"/>
    <w:rsid w:val="2DA07759"/>
    <w:rsid w:val="2DA336ED"/>
    <w:rsid w:val="2DA3549B"/>
    <w:rsid w:val="2DA4664B"/>
    <w:rsid w:val="2DA51213"/>
    <w:rsid w:val="2DA57465"/>
    <w:rsid w:val="2DA90D03"/>
    <w:rsid w:val="2DAA682A"/>
    <w:rsid w:val="2DAC07F4"/>
    <w:rsid w:val="2DAD2CC4"/>
    <w:rsid w:val="2DAE631A"/>
    <w:rsid w:val="2DAF5BEE"/>
    <w:rsid w:val="2DB2482A"/>
    <w:rsid w:val="2DB317B9"/>
    <w:rsid w:val="2DB31B82"/>
    <w:rsid w:val="2DB72CF5"/>
    <w:rsid w:val="2DB80F46"/>
    <w:rsid w:val="2DBA2FCF"/>
    <w:rsid w:val="2DBC5F4F"/>
    <w:rsid w:val="2DBD50E7"/>
    <w:rsid w:val="2DBF149D"/>
    <w:rsid w:val="2DC01BA9"/>
    <w:rsid w:val="2DC518B5"/>
    <w:rsid w:val="2DC53663"/>
    <w:rsid w:val="2DC72F38"/>
    <w:rsid w:val="2DC773DC"/>
    <w:rsid w:val="2DCA2A28"/>
    <w:rsid w:val="2DCD42C6"/>
    <w:rsid w:val="2DCE1D05"/>
    <w:rsid w:val="2DCE2518"/>
    <w:rsid w:val="2DCF44E2"/>
    <w:rsid w:val="2DD13DB6"/>
    <w:rsid w:val="2DD218DC"/>
    <w:rsid w:val="2DD30DA3"/>
    <w:rsid w:val="2DD37B2E"/>
    <w:rsid w:val="2DD65871"/>
    <w:rsid w:val="2DD815E9"/>
    <w:rsid w:val="2DDB4C35"/>
    <w:rsid w:val="2DDD484D"/>
    <w:rsid w:val="2DDE5EB6"/>
    <w:rsid w:val="2DDF5A78"/>
    <w:rsid w:val="2DE0224B"/>
    <w:rsid w:val="2DE16FF1"/>
    <w:rsid w:val="2DE25FC3"/>
    <w:rsid w:val="2DE27D71"/>
    <w:rsid w:val="2DE41D3C"/>
    <w:rsid w:val="2DE47F8D"/>
    <w:rsid w:val="2DE735DA"/>
    <w:rsid w:val="2DE74756"/>
    <w:rsid w:val="2DE955A4"/>
    <w:rsid w:val="2DEA30CA"/>
    <w:rsid w:val="2DEC0BF0"/>
    <w:rsid w:val="2DF126AA"/>
    <w:rsid w:val="2DF16206"/>
    <w:rsid w:val="2DF301D1"/>
    <w:rsid w:val="2DF755CD"/>
    <w:rsid w:val="2DF83A39"/>
    <w:rsid w:val="2DF91B72"/>
    <w:rsid w:val="2DFB52D7"/>
    <w:rsid w:val="2DFB71AB"/>
    <w:rsid w:val="2DFC2F3E"/>
    <w:rsid w:val="2DFE521A"/>
    <w:rsid w:val="2E0028ED"/>
    <w:rsid w:val="2E0423DE"/>
    <w:rsid w:val="2E0777D8"/>
    <w:rsid w:val="2E0C4DEE"/>
    <w:rsid w:val="2E0E0B66"/>
    <w:rsid w:val="2E0E500A"/>
    <w:rsid w:val="2E0E6DB8"/>
    <w:rsid w:val="2E1168A9"/>
    <w:rsid w:val="2E1224E4"/>
    <w:rsid w:val="2E132621"/>
    <w:rsid w:val="2E13617D"/>
    <w:rsid w:val="2E165C6D"/>
    <w:rsid w:val="2E166B2C"/>
    <w:rsid w:val="2E184591"/>
    <w:rsid w:val="2E194231"/>
    <w:rsid w:val="2E1A575D"/>
    <w:rsid w:val="2E1F0FC6"/>
    <w:rsid w:val="2E220AB6"/>
    <w:rsid w:val="2E222864"/>
    <w:rsid w:val="2E25123C"/>
    <w:rsid w:val="2E2A1718"/>
    <w:rsid w:val="2E2C5491"/>
    <w:rsid w:val="2E2D6DDD"/>
    <w:rsid w:val="2E2D764F"/>
    <w:rsid w:val="2E2E1209"/>
    <w:rsid w:val="2E344345"/>
    <w:rsid w:val="2E350140"/>
    <w:rsid w:val="2E3558C9"/>
    <w:rsid w:val="2E36630F"/>
    <w:rsid w:val="2E383AEE"/>
    <w:rsid w:val="2E3A7BAD"/>
    <w:rsid w:val="2E3B1934"/>
    <w:rsid w:val="2E3B3926"/>
    <w:rsid w:val="2E3D3BC8"/>
    <w:rsid w:val="2E3D769E"/>
    <w:rsid w:val="2E3F3416"/>
    <w:rsid w:val="2E402CEA"/>
    <w:rsid w:val="2E456552"/>
    <w:rsid w:val="2E47051C"/>
    <w:rsid w:val="2E494294"/>
    <w:rsid w:val="2E500904"/>
    <w:rsid w:val="2E50117F"/>
    <w:rsid w:val="2E530AF8"/>
    <w:rsid w:val="2E532A1D"/>
    <w:rsid w:val="2E56250D"/>
    <w:rsid w:val="2E580034"/>
    <w:rsid w:val="2E586DFA"/>
    <w:rsid w:val="2E5A0250"/>
    <w:rsid w:val="2E5B7B24"/>
    <w:rsid w:val="2E5C5D76"/>
    <w:rsid w:val="2E5D1AEE"/>
    <w:rsid w:val="2E5D389C"/>
    <w:rsid w:val="2E5D564A"/>
    <w:rsid w:val="2E5F4906"/>
    <w:rsid w:val="2E625356"/>
    <w:rsid w:val="2E627104"/>
    <w:rsid w:val="2E6305ED"/>
    <w:rsid w:val="2E6609A2"/>
    <w:rsid w:val="2E67471B"/>
    <w:rsid w:val="2E692241"/>
    <w:rsid w:val="2E693FEF"/>
    <w:rsid w:val="2E6958EF"/>
    <w:rsid w:val="2E6A7D67"/>
    <w:rsid w:val="2E6D45D8"/>
    <w:rsid w:val="2E6E3CFB"/>
    <w:rsid w:val="2E6E5AA9"/>
    <w:rsid w:val="2E6E74F1"/>
    <w:rsid w:val="2E7035CF"/>
    <w:rsid w:val="2E70773E"/>
    <w:rsid w:val="2E712F35"/>
    <w:rsid w:val="2E725599"/>
    <w:rsid w:val="2E731311"/>
    <w:rsid w:val="2E734E6D"/>
    <w:rsid w:val="2E753A5E"/>
    <w:rsid w:val="2E756E38"/>
    <w:rsid w:val="2E7763D7"/>
    <w:rsid w:val="2E7806D6"/>
    <w:rsid w:val="2E786928"/>
    <w:rsid w:val="2E7A444E"/>
    <w:rsid w:val="2E840E29"/>
    <w:rsid w:val="2E894691"/>
    <w:rsid w:val="2E8D2118"/>
    <w:rsid w:val="2E8D23D3"/>
    <w:rsid w:val="2E8E1CA7"/>
    <w:rsid w:val="2E903C71"/>
    <w:rsid w:val="2E91366A"/>
    <w:rsid w:val="2E9276CB"/>
    <w:rsid w:val="2E930B5B"/>
    <w:rsid w:val="2E951288"/>
    <w:rsid w:val="2E953036"/>
    <w:rsid w:val="2E982B26"/>
    <w:rsid w:val="2E9848D4"/>
    <w:rsid w:val="2E9A064C"/>
    <w:rsid w:val="2E9A1EAA"/>
    <w:rsid w:val="2E9C2616"/>
    <w:rsid w:val="2E9D638E"/>
    <w:rsid w:val="2E9F5C62"/>
    <w:rsid w:val="2EA17C2D"/>
    <w:rsid w:val="2EA66FF1"/>
    <w:rsid w:val="2EA901B0"/>
    <w:rsid w:val="2EAA3A90"/>
    <w:rsid w:val="2EAC6B31"/>
    <w:rsid w:val="2EB01C1E"/>
    <w:rsid w:val="2EB060C2"/>
    <w:rsid w:val="2EB07E70"/>
    <w:rsid w:val="2EB3170E"/>
    <w:rsid w:val="2EB3795E"/>
    <w:rsid w:val="2EB51324"/>
    <w:rsid w:val="2EB536D8"/>
    <w:rsid w:val="2EB711FE"/>
    <w:rsid w:val="2EB72FAC"/>
    <w:rsid w:val="2EB82856"/>
    <w:rsid w:val="2EB84F76"/>
    <w:rsid w:val="2EBA2A9C"/>
    <w:rsid w:val="2EBA6F40"/>
    <w:rsid w:val="2EBC05C2"/>
    <w:rsid w:val="2EBC4A66"/>
    <w:rsid w:val="2EBD258D"/>
    <w:rsid w:val="2EBF0A2B"/>
    <w:rsid w:val="2EBF4557"/>
    <w:rsid w:val="2EBF6305"/>
    <w:rsid w:val="2EC21951"/>
    <w:rsid w:val="2EC333C5"/>
    <w:rsid w:val="2EC41B6D"/>
    <w:rsid w:val="2EC60DB5"/>
    <w:rsid w:val="2EC76F67"/>
    <w:rsid w:val="2EC851B9"/>
    <w:rsid w:val="2ECD0A22"/>
    <w:rsid w:val="2ECE479A"/>
    <w:rsid w:val="2ECE6548"/>
    <w:rsid w:val="2ECF6A3D"/>
    <w:rsid w:val="2ED00512"/>
    <w:rsid w:val="2ED2428A"/>
    <w:rsid w:val="2ED31DB0"/>
    <w:rsid w:val="2ED33B5E"/>
    <w:rsid w:val="2ED40002"/>
    <w:rsid w:val="2ED51684"/>
    <w:rsid w:val="2ED718A0"/>
    <w:rsid w:val="2ED85923"/>
    <w:rsid w:val="2ED85DFF"/>
    <w:rsid w:val="2EDB6C8A"/>
    <w:rsid w:val="2EDF2503"/>
    <w:rsid w:val="2EE10029"/>
    <w:rsid w:val="2EE23DA1"/>
    <w:rsid w:val="2EE30245"/>
    <w:rsid w:val="2EE3584F"/>
    <w:rsid w:val="2EE45D6B"/>
    <w:rsid w:val="2EE87609"/>
    <w:rsid w:val="2EE93382"/>
    <w:rsid w:val="2EEA43D0"/>
    <w:rsid w:val="2EEB2B34"/>
    <w:rsid w:val="2EF173B1"/>
    <w:rsid w:val="2EF20488"/>
    <w:rsid w:val="2EF27E36"/>
    <w:rsid w:val="2EF35FAE"/>
    <w:rsid w:val="2EF73CF0"/>
    <w:rsid w:val="2EF835C5"/>
    <w:rsid w:val="2EF93C76"/>
    <w:rsid w:val="2EF97A69"/>
    <w:rsid w:val="2EFE0BDB"/>
    <w:rsid w:val="2EFF0FAA"/>
    <w:rsid w:val="2EFF3B7B"/>
    <w:rsid w:val="2F000DF7"/>
    <w:rsid w:val="2F0106CB"/>
    <w:rsid w:val="2F012479"/>
    <w:rsid w:val="2F034443"/>
    <w:rsid w:val="2F063F34"/>
    <w:rsid w:val="2F065CE2"/>
    <w:rsid w:val="2F083808"/>
    <w:rsid w:val="2F087CAC"/>
    <w:rsid w:val="2F0B154A"/>
    <w:rsid w:val="2F0C6B65"/>
    <w:rsid w:val="2F0D0E1E"/>
    <w:rsid w:val="2F0D7070"/>
    <w:rsid w:val="2F0E36ED"/>
    <w:rsid w:val="2F0E519C"/>
    <w:rsid w:val="2F10090E"/>
    <w:rsid w:val="2F10493D"/>
    <w:rsid w:val="2F121581"/>
    <w:rsid w:val="2F171C9D"/>
    <w:rsid w:val="2F176141"/>
    <w:rsid w:val="2F191EB9"/>
    <w:rsid w:val="2F1A79DF"/>
    <w:rsid w:val="2F1E74CF"/>
    <w:rsid w:val="2F204FF5"/>
    <w:rsid w:val="2F210D6D"/>
    <w:rsid w:val="2F266384"/>
    <w:rsid w:val="2F2820FC"/>
    <w:rsid w:val="2F2A7C22"/>
    <w:rsid w:val="2F2B5748"/>
    <w:rsid w:val="2F2D14C0"/>
    <w:rsid w:val="2F300FB0"/>
    <w:rsid w:val="2F313E39"/>
    <w:rsid w:val="2F320885"/>
    <w:rsid w:val="2F340AA1"/>
    <w:rsid w:val="2F34132A"/>
    <w:rsid w:val="2F3445FD"/>
    <w:rsid w:val="2F3B2A6E"/>
    <w:rsid w:val="2F3C1703"/>
    <w:rsid w:val="2F3F11F4"/>
    <w:rsid w:val="2F3F2FA2"/>
    <w:rsid w:val="2F407445"/>
    <w:rsid w:val="2F4131BE"/>
    <w:rsid w:val="2F414F6C"/>
    <w:rsid w:val="2F4228CB"/>
    <w:rsid w:val="2F436F36"/>
    <w:rsid w:val="2F4405B8"/>
    <w:rsid w:val="2F45680A"/>
    <w:rsid w:val="2F4862FA"/>
    <w:rsid w:val="2F4A2072"/>
    <w:rsid w:val="2F4A3E20"/>
    <w:rsid w:val="2F4B1946"/>
    <w:rsid w:val="2F4D3910"/>
    <w:rsid w:val="2F4F1437"/>
    <w:rsid w:val="2F5051AF"/>
    <w:rsid w:val="2F510852"/>
    <w:rsid w:val="2F511653"/>
    <w:rsid w:val="2F515F41"/>
    <w:rsid w:val="2F522CD5"/>
    <w:rsid w:val="2F5702EB"/>
    <w:rsid w:val="2F5922B5"/>
    <w:rsid w:val="2F5B602D"/>
    <w:rsid w:val="2F5C1DA5"/>
    <w:rsid w:val="2F5C3B54"/>
    <w:rsid w:val="2F601896"/>
    <w:rsid w:val="2F640B79"/>
    <w:rsid w:val="2F662C24"/>
    <w:rsid w:val="2F6649D2"/>
    <w:rsid w:val="2F686C4D"/>
    <w:rsid w:val="2F6A001E"/>
    <w:rsid w:val="2F6A6270"/>
    <w:rsid w:val="2F6B1FE9"/>
    <w:rsid w:val="2F6D7B0F"/>
    <w:rsid w:val="2F6F7D2B"/>
    <w:rsid w:val="2F700E41"/>
    <w:rsid w:val="2F7017FF"/>
    <w:rsid w:val="2F7215C9"/>
    <w:rsid w:val="2F725125"/>
    <w:rsid w:val="2F740E9D"/>
    <w:rsid w:val="2F754C15"/>
    <w:rsid w:val="2F76241E"/>
    <w:rsid w:val="2F762E67"/>
    <w:rsid w:val="2F776BDF"/>
    <w:rsid w:val="2F7B222C"/>
    <w:rsid w:val="2F7E3ACA"/>
    <w:rsid w:val="2F7E7F6E"/>
    <w:rsid w:val="2F81180C"/>
    <w:rsid w:val="2F8310E0"/>
    <w:rsid w:val="2F8337D6"/>
    <w:rsid w:val="2F837375"/>
    <w:rsid w:val="2F843990"/>
    <w:rsid w:val="2F854E58"/>
    <w:rsid w:val="2F875DDB"/>
    <w:rsid w:val="2F884949"/>
    <w:rsid w:val="2F8A246F"/>
    <w:rsid w:val="2F8D421B"/>
    <w:rsid w:val="2F8D6403"/>
    <w:rsid w:val="2F8E07F4"/>
    <w:rsid w:val="2F911EBE"/>
    <w:rsid w:val="2F917CA1"/>
    <w:rsid w:val="2F9432ED"/>
    <w:rsid w:val="2F947791"/>
    <w:rsid w:val="2F9652B7"/>
    <w:rsid w:val="2F971030"/>
    <w:rsid w:val="2F974B8C"/>
    <w:rsid w:val="2F994DA8"/>
    <w:rsid w:val="2F9A414A"/>
    <w:rsid w:val="2F9B467C"/>
    <w:rsid w:val="2F9C03F4"/>
    <w:rsid w:val="2F9C2DF8"/>
    <w:rsid w:val="2F9D669B"/>
    <w:rsid w:val="2F9E23BE"/>
    <w:rsid w:val="2FA03C59"/>
    <w:rsid w:val="2FA12DB4"/>
    <w:rsid w:val="2FA23C5C"/>
    <w:rsid w:val="2FA31782"/>
    <w:rsid w:val="2FA554FB"/>
    <w:rsid w:val="2FA572A9"/>
    <w:rsid w:val="2FA71273"/>
    <w:rsid w:val="2FA84FEB"/>
    <w:rsid w:val="2FAA48BF"/>
    <w:rsid w:val="2FAC4ADB"/>
    <w:rsid w:val="2FAD0853"/>
    <w:rsid w:val="2FAD2601"/>
    <w:rsid w:val="2FAD694E"/>
    <w:rsid w:val="2FAF0127"/>
    <w:rsid w:val="2FAF6379"/>
    <w:rsid w:val="2FB12670"/>
    <w:rsid w:val="2FB13E9F"/>
    <w:rsid w:val="2FB43990"/>
    <w:rsid w:val="2FB47769"/>
    <w:rsid w:val="2FB614B6"/>
    <w:rsid w:val="2FB67708"/>
    <w:rsid w:val="2FB725D1"/>
    <w:rsid w:val="2FB829D9"/>
    <w:rsid w:val="2FB83561"/>
    <w:rsid w:val="2FB971F8"/>
    <w:rsid w:val="2FBB2F70"/>
    <w:rsid w:val="2FBC25A1"/>
    <w:rsid w:val="2FBE480E"/>
    <w:rsid w:val="2FC02334"/>
    <w:rsid w:val="2FC040E2"/>
    <w:rsid w:val="2FC17E5A"/>
    <w:rsid w:val="2FC31E25"/>
    <w:rsid w:val="2FC32F68"/>
    <w:rsid w:val="2FC35981"/>
    <w:rsid w:val="2FC5794B"/>
    <w:rsid w:val="2FC647D1"/>
    <w:rsid w:val="2FC811E9"/>
    <w:rsid w:val="2FCA6D0F"/>
    <w:rsid w:val="2FCD67FF"/>
    <w:rsid w:val="2FCE2CA3"/>
    <w:rsid w:val="2FCF07C9"/>
    <w:rsid w:val="2FCF4325"/>
    <w:rsid w:val="2FD1527E"/>
    <w:rsid w:val="2FD162F0"/>
    <w:rsid w:val="2FD302BA"/>
    <w:rsid w:val="2FD61B58"/>
    <w:rsid w:val="2FD858D0"/>
    <w:rsid w:val="2FD8767E"/>
    <w:rsid w:val="2FD91648"/>
    <w:rsid w:val="2FD951A4"/>
    <w:rsid w:val="2FDB4E21"/>
    <w:rsid w:val="2FDC432A"/>
    <w:rsid w:val="2FDC6A42"/>
    <w:rsid w:val="2FE04785"/>
    <w:rsid w:val="2FE06533"/>
    <w:rsid w:val="2FE34275"/>
    <w:rsid w:val="2FE36023"/>
    <w:rsid w:val="2FE57FED"/>
    <w:rsid w:val="2FE9188B"/>
    <w:rsid w:val="2FEA115F"/>
    <w:rsid w:val="2FEB3580"/>
    <w:rsid w:val="2FEC3129"/>
    <w:rsid w:val="2FEC4B00"/>
    <w:rsid w:val="2FEC4ED7"/>
    <w:rsid w:val="2FEF6776"/>
    <w:rsid w:val="2FF616FD"/>
    <w:rsid w:val="2FF63FA8"/>
    <w:rsid w:val="2FF67B04"/>
    <w:rsid w:val="2FF72146"/>
    <w:rsid w:val="2FFA3A98"/>
    <w:rsid w:val="2FFD0E93"/>
    <w:rsid w:val="2FFE4C0B"/>
    <w:rsid w:val="300541EB"/>
    <w:rsid w:val="30055F99"/>
    <w:rsid w:val="30063D65"/>
    <w:rsid w:val="30093CDB"/>
    <w:rsid w:val="300D4B66"/>
    <w:rsid w:val="300E30A0"/>
    <w:rsid w:val="300F6E18"/>
    <w:rsid w:val="30105D20"/>
    <w:rsid w:val="3011493E"/>
    <w:rsid w:val="301601A6"/>
    <w:rsid w:val="301663F8"/>
    <w:rsid w:val="30183F1E"/>
    <w:rsid w:val="301C571D"/>
    <w:rsid w:val="301D1535"/>
    <w:rsid w:val="301E705B"/>
    <w:rsid w:val="30224D9D"/>
    <w:rsid w:val="30234671"/>
    <w:rsid w:val="30240B15"/>
    <w:rsid w:val="3025488D"/>
    <w:rsid w:val="3025663B"/>
    <w:rsid w:val="30265240"/>
    <w:rsid w:val="3026763A"/>
    <w:rsid w:val="302723B3"/>
    <w:rsid w:val="30282422"/>
    <w:rsid w:val="302A1EA4"/>
    <w:rsid w:val="302A3C52"/>
    <w:rsid w:val="302C5C38"/>
    <w:rsid w:val="302D729E"/>
    <w:rsid w:val="302E3742"/>
    <w:rsid w:val="302F1268"/>
    <w:rsid w:val="303348B4"/>
    <w:rsid w:val="3034687E"/>
    <w:rsid w:val="303625F7"/>
    <w:rsid w:val="303A20E7"/>
    <w:rsid w:val="303B19BB"/>
    <w:rsid w:val="303D1BD7"/>
    <w:rsid w:val="304050A9"/>
    <w:rsid w:val="30406FD1"/>
    <w:rsid w:val="3049057C"/>
    <w:rsid w:val="3049232A"/>
    <w:rsid w:val="304940D8"/>
    <w:rsid w:val="304C1E1A"/>
    <w:rsid w:val="304C3BC8"/>
    <w:rsid w:val="304E02C8"/>
    <w:rsid w:val="30515682"/>
    <w:rsid w:val="30536D05"/>
    <w:rsid w:val="30542A7D"/>
    <w:rsid w:val="305556AB"/>
    <w:rsid w:val="30556F21"/>
    <w:rsid w:val="30564A47"/>
    <w:rsid w:val="305667F5"/>
    <w:rsid w:val="30586A11"/>
    <w:rsid w:val="305877C3"/>
    <w:rsid w:val="305B3E0B"/>
    <w:rsid w:val="305D5DD5"/>
    <w:rsid w:val="305E54D0"/>
    <w:rsid w:val="305E56A9"/>
    <w:rsid w:val="30601421"/>
    <w:rsid w:val="3062519A"/>
    <w:rsid w:val="30640F12"/>
    <w:rsid w:val="306453B6"/>
    <w:rsid w:val="30696528"/>
    <w:rsid w:val="306A22A0"/>
    <w:rsid w:val="306C3FB4"/>
    <w:rsid w:val="306C4B59"/>
    <w:rsid w:val="306E3B3E"/>
    <w:rsid w:val="306E5142"/>
    <w:rsid w:val="306E6455"/>
    <w:rsid w:val="306E7FE2"/>
    <w:rsid w:val="30705B08"/>
    <w:rsid w:val="3071362F"/>
    <w:rsid w:val="307153DD"/>
    <w:rsid w:val="30726E0B"/>
    <w:rsid w:val="30731155"/>
    <w:rsid w:val="30744ECD"/>
    <w:rsid w:val="30751371"/>
    <w:rsid w:val="30752D67"/>
    <w:rsid w:val="30766E97"/>
    <w:rsid w:val="307750E9"/>
    <w:rsid w:val="30782C0F"/>
    <w:rsid w:val="3078676B"/>
    <w:rsid w:val="30794CA9"/>
    <w:rsid w:val="307A24E3"/>
    <w:rsid w:val="307B625B"/>
    <w:rsid w:val="307B75C9"/>
    <w:rsid w:val="30801AC4"/>
    <w:rsid w:val="30817EA3"/>
    <w:rsid w:val="308275EA"/>
    <w:rsid w:val="30840E28"/>
    <w:rsid w:val="308710A4"/>
    <w:rsid w:val="30882086"/>
    <w:rsid w:val="308B0B94"/>
    <w:rsid w:val="308B3F4E"/>
    <w:rsid w:val="308C0468"/>
    <w:rsid w:val="308E2433"/>
    <w:rsid w:val="3090035F"/>
    <w:rsid w:val="30915A7F"/>
    <w:rsid w:val="30924E08"/>
    <w:rsid w:val="309335A5"/>
    <w:rsid w:val="309537C1"/>
    <w:rsid w:val="309612E7"/>
    <w:rsid w:val="309644F8"/>
    <w:rsid w:val="3098505F"/>
    <w:rsid w:val="309F019C"/>
    <w:rsid w:val="309F44FF"/>
    <w:rsid w:val="30A13F14"/>
    <w:rsid w:val="30A27C8C"/>
    <w:rsid w:val="30A457B2"/>
    <w:rsid w:val="30A65852"/>
    <w:rsid w:val="30A77050"/>
    <w:rsid w:val="30AB4799"/>
    <w:rsid w:val="30AB6B41"/>
    <w:rsid w:val="30AE03DF"/>
    <w:rsid w:val="30B06208"/>
    <w:rsid w:val="30B21F41"/>
    <w:rsid w:val="30B33C47"/>
    <w:rsid w:val="30B55C11"/>
    <w:rsid w:val="30B73737"/>
    <w:rsid w:val="30B9756B"/>
    <w:rsid w:val="30BB2192"/>
    <w:rsid w:val="30BB2A2E"/>
    <w:rsid w:val="30BC6FA0"/>
    <w:rsid w:val="30BD4AC6"/>
    <w:rsid w:val="30BD5058"/>
    <w:rsid w:val="30BD6874"/>
    <w:rsid w:val="30BF439A"/>
    <w:rsid w:val="30C145B6"/>
    <w:rsid w:val="30C23E8A"/>
    <w:rsid w:val="30C25BF4"/>
    <w:rsid w:val="30C40B4C"/>
    <w:rsid w:val="30C4467E"/>
    <w:rsid w:val="30C85944"/>
    <w:rsid w:val="30C96FC7"/>
    <w:rsid w:val="30CB2D3F"/>
    <w:rsid w:val="30CC4D09"/>
    <w:rsid w:val="30CC6AB7"/>
    <w:rsid w:val="30CE2ED2"/>
    <w:rsid w:val="30D047F9"/>
    <w:rsid w:val="30D065A7"/>
    <w:rsid w:val="30D14FE9"/>
    <w:rsid w:val="30D342E9"/>
    <w:rsid w:val="30DA7426"/>
    <w:rsid w:val="30DC13F0"/>
    <w:rsid w:val="30DC4F4C"/>
    <w:rsid w:val="30DD0CC4"/>
    <w:rsid w:val="30DD2A72"/>
    <w:rsid w:val="30E12562"/>
    <w:rsid w:val="30E16A06"/>
    <w:rsid w:val="30E57AFE"/>
    <w:rsid w:val="30E6401D"/>
    <w:rsid w:val="30E65DCB"/>
    <w:rsid w:val="30E81B43"/>
    <w:rsid w:val="30E958BB"/>
    <w:rsid w:val="30EB33E1"/>
    <w:rsid w:val="30ED52A6"/>
    <w:rsid w:val="30ED7159"/>
    <w:rsid w:val="30F71D86"/>
    <w:rsid w:val="30F85AFE"/>
    <w:rsid w:val="30FA3624"/>
    <w:rsid w:val="30FA7AC8"/>
    <w:rsid w:val="30FC114A"/>
    <w:rsid w:val="30FD4EC2"/>
    <w:rsid w:val="30FF6E8C"/>
    <w:rsid w:val="31010E56"/>
    <w:rsid w:val="3102072B"/>
    <w:rsid w:val="31046251"/>
    <w:rsid w:val="3106021B"/>
    <w:rsid w:val="31061FC9"/>
    <w:rsid w:val="31077AEF"/>
    <w:rsid w:val="3108054C"/>
    <w:rsid w:val="310A0554"/>
    <w:rsid w:val="310A2DDF"/>
    <w:rsid w:val="310D15A9"/>
    <w:rsid w:val="310D3357"/>
    <w:rsid w:val="310D77FB"/>
    <w:rsid w:val="310E5321"/>
    <w:rsid w:val="310F3573"/>
    <w:rsid w:val="310F699B"/>
    <w:rsid w:val="31101099"/>
    <w:rsid w:val="31126CE6"/>
    <w:rsid w:val="311566B0"/>
    <w:rsid w:val="31175F84"/>
    <w:rsid w:val="31181417"/>
    <w:rsid w:val="31181CFC"/>
    <w:rsid w:val="31197F4E"/>
    <w:rsid w:val="311C17EC"/>
    <w:rsid w:val="311C7A3E"/>
    <w:rsid w:val="311D7312"/>
    <w:rsid w:val="311F752F"/>
    <w:rsid w:val="312132A7"/>
    <w:rsid w:val="31215055"/>
    <w:rsid w:val="312608BD"/>
    <w:rsid w:val="3126266B"/>
    <w:rsid w:val="31262BAF"/>
    <w:rsid w:val="31274283"/>
    <w:rsid w:val="312B7C81"/>
    <w:rsid w:val="312E1520"/>
    <w:rsid w:val="31307046"/>
    <w:rsid w:val="31344D88"/>
    <w:rsid w:val="31350B00"/>
    <w:rsid w:val="3135465C"/>
    <w:rsid w:val="31376626"/>
    <w:rsid w:val="3138414C"/>
    <w:rsid w:val="313905F0"/>
    <w:rsid w:val="313A6116"/>
    <w:rsid w:val="313A7EC4"/>
    <w:rsid w:val="313C5BDC"/>
    <w:rsid w:val="313E5C07"/>
    <w:rsid w:val="313E79B5"/>
    <w:rsid w:val="31413001"/>
    <w:rsid w:val="31440D43"/>
    <w:rsid w:val="31456F95"/>
    <w:rsid w:val="314618C4"/>
    <w:rsid w:val="31466869"/>
    <w:rsid w:val="31480833"/>
    <w:rsid w:val="31486DB5"/>
    <w:rsid w:val="314D409C"/>
    <w:rsid w:val="314D426D"/>
    <w:rsid w:val="314F1BC2"/>
    <w:rsid w:val="31501496"/>
    <w:rsid w:val="31522A38"/>
    <w:rsid w:val="315417EB"/>
    <w:rsid w:val="31572824"/>
    <w:rsid w:val="31592A40"/>
    <w:rsid w:val="315947EF"/>
    <w:rsid w:val="315A57EF"/>
    <w:rsid w:val="315C42DF"/>
    <w:rsid w:val="315C66BB"/>
    <w:rsid w:val="315E0DB5"/>
    <w:rsid w:val="316513E5"/>
    <w:rsid w:val="31660CB9"/>
    <w:rsid w:val="316B2774"/>
    <w:rsid w:val="316D2048"/>
    <w:rsid w:val="31723B02"/>
    <w:rsid w:val="31750EFD"/>
    <w:rsid w:val="3175714F"/>
    <w:rsid w:val="317653A0"/>
    <w:rsid w:val="3178194A"/>
    <w:rsid w:val="31794E91"/>
    <w:rsid w:val="317B29B7"/>
    <w:rsid w:val="317C228B"/>
    <w:rsid w:val="317C5CA4"/>
    <w:rsid w:val="317E1D05"/>
    <w:rsid w:val="317F3B29"/>
    <w:rsid w:val="31807FCD"/>
    <w:rsid w:val="3183186B"/>
    <w:rsid w:val="318555E4"/>
    <w:rsid w:val="318577D7"/>
    <w:rsid w:val="31886E82"/>
    <w:rsid w:val="318A3E34"/>
    <w:rsid w:val="318B3763"/>
    <w:rsid w:val="318B62FF"/>
    <w:rsid w:val="318D4498"/>
    <w:rsid w:val="318D6246"/>
    <w:rsid w:val="318E3ACA"/>
    <w:rsid w:val="31905D36"/>
    <w:rsid w:val="31921AAF"/>
    <w:rsid w:val="31943A79"/>
    <w:rsid w:val="31943F2B"/>
    <w:rsid w:val="3196159F"/>
    <w:rsid w:val="319677F1"/>
    <w:rsid w:val="3198586F"/>
    <w:rsid w:val="31993C0A"/>
    <w:rsid w:val="319C46DB"/>
    <w:rsid w:val="319E66A5"/>
    <w:rsid w:val="319F5F79"/>
    <w:rsid w:val="31A11683"/>
    <w:rsid w:val="31A12505"/>
    <w:rsid w:val="31A16195"/>
    <w:rsid w:val="31A31F0E"/>
    <w:rsid w:val="31A43A20"/>
    <w:rsid w:val="31A55C86"/>
    <w:rsid w:val="31A83080"/>
    <w:rsid w:val="31A87524"/>
    <w:rsid w:val="31AC410D"/>
    <w:rsid w:val="31AD0696"/>
    <w:rsid w:val="31AD4AD2"/>
    <w:rsid w:val="31AF440F"/>
    <w:rsid w:val="31B163D9"/>
    <w:rsid w:val="31B23EFF"/>
    <w:rsid w:val="31B41A25"/>
    <w:rsid w:val="31B45EC9"/>
    <w:rsid w:val="31B47C77"/>
    <w:rsid w:val="31B6078B"/>
    <w:rsid w:val="31B639EF"/>
    <w:rsid w:val="31B672C5"/>
    <w:rsid w:val="31B70755"/>
    <w:rsid w:val="31B735DD"/>
    <w:rsid w:val="31B77767"/>
    <w:rsid w:val="31BC19F6"/>
    <w:rsid w:val="31BC4D7D"/>
    <w:rsid w:val="31C139EA"/>
    <w:rsid w:val="31C14142"/>
    <w:rsid w:val="31C143D8"/>
    <w:rsid w:val="31C3610C"/>
    <w:rsid w:val="31C36CF8"/>
    <w:rsid w:val="31C40EA0"/>
    <w:rsid w:val="31C53C32"/>
    <w:rsid w:val="31C559E0"/>
    <w:rsid w:val="31C75BFC"/>
    <w:rsid w:val="31C83722"/>
    <w:rsid w:val="31C854D0"/>
    <w:rsid w:val="31C97385"/>
    <w:rsid w:val="31CB130E"/>
    <w:rsid w:val="31CB2A45"/>
    <w:rsid w:val="31CC3212"/>
    <w:rsid w:val="31CD40BC"/>
    <w:rsid w:val="31CD6F8B"/>
    <w:rsid w:val="31CF4AB1"/>
    <w:rsid w:val="31CF685F"/>
    <w:rsid w:val="31D10829"/>
    <w:rsid w:val="31D40319"/>
    <w:rsid w:val="31D420C7"/>
    <w:rsid w:val="31D67BED"/>
    <w:rsid w:val="31DA35B5"/>
    <w:rsid w:val="31DB16A7"/>
    <w:rsid w:val="31DB3455"/>
    <w:rsid w:val="31DB5204"/>
    <w:rsid w:val="31DC0F7C"/>
    <w:rsid w:val="31DE2F46"/>
    <w:rsid w:val="31DE4CF4"/>
    <w:rsid w:val="31E00A6C"/>
    <w:rsid w:val="31E0281A"/>
    <w:rsid w:val="31E06CBE"/>
    <w:rsid w:val="31E07961"/>
    <w:rsid w:val="31E10F22"/>
    <w:rsid w:val="31E22A36"/>
    <w:rsid w:val="31E3230A"/>
    <w:rsid w:val="31E70327"/>
    <w:rsid w:val="31E83DC4"/>
    <w:rsid w:val="31EA3AF9"/>
    <w:rsid w:val="31EA5447"/>
    <w:rsid w:val="31EC11BC"/>
    <w:rsid w:val="31EC7411"/>
    <w:rsid w:val="31ED6C9B"/>
    <w:rsid w:val="31EE13DB"/>
    <w:rsid w:val="31EF5A55"/>
    <w:rsid w:val="31F12C79"/>
    <w:rsid w:val="31F2079F"/>
    <w:rsid w:val="31F24947"/>
    <w:rsid w:val="31F462C5"/>
    <w:rsid w:val="31F87078"/>
    <w:rsid w:val="31F938DC"/>
    <w:rsid w:val="31FC33CC"/>
    <w:rsid w:val="31FE41E1"/>
    <w:rsid w:val="31FF5ABB"/>
    <w:rsid w:val="32024E86"/>
    <w:rsid w:val="320557CC"/>
    <w:rsid w:val="32077C07"/>
    <w:rsid w:val="320A3D3B"/>
    <w:rsid w:val="320A7897"/>
    <w:rsid w:val="320D55D9"/>
    <w:rsid w:val="320F1351"/>
    <w:rsid w:val="32111360"/>
    <w:rsid w:val="32130E41"/>
    <w:rsid w:val="32132BEF"/>
    <w:rsid w:val="32157CE1"/>
    <w:rsid w:val="321626E0"/>
    <w:rsid w:val="32171FB4"/>
    <w:rsid w:val="32180206"/>
    <w:rsid w:val="32195D2C"/>
    <w:rsid w:val="321B5F48"/>
    <w:rsid w:val="321B7CF6"/>
    <w:rsid w:val="321D3A6E"/>
    <w:rsid w:val="321E77E6"/>
    <w:rsid w:val="32221084"/>
    <w:rsid w:val="32244DFC"/>
    <w:rsid w:val="322620F6"/>
    <w:rsid w:val="32286157"/>
    <w:rsid w:val="322A7F39"/>
    <w:rsid w:val="322C3CB1"/>
    <w:rsid w:val="322E7A29"/>
    <w:rsid w:val="323073DF"/>
    <w:rsid w:val="32313075"/>
    <w:rsid w:val="323135EB"/>
    <w:rsid w:val="32326DEE"/>
    <w:rsid w:val="3233551E"/>
    <w:rsid w:val="32342B66"/>
    <w:rsid w:val="3235075B"/>
    <w:rsid w:val="32364B30"/>
    <w:rsid w:val="32382656"/>
    <w:rsid w:val="32384404"/>
    <w:rsid w:val="32391589"/>
    <w:rsid w:val="323A6E2B"/>
    <w:rsid w:val="323B0398"/>
    <w:rsid w:val="323B5CA2"/>
    <w:rsid w:val="323C5A5D"/>
    <w:rsid w:val="323C76F7"/>
    <w:rsid w:val="323D7C6C"/>
    <w:rsid w:val="32430FFB"/>
    <w:rsid w:val="3243100D"/>
    <w:rsid w:val="32432DA9"/>
    <w:rsid w:val="3244724D"/>
    <w:rsid w:val="32456B21"/>
    <w:rsid w:val="324616E0"/>
    <w:rsid w:val="32477596"/>
    <w:rsid w:val="324803BF"/>
    <w:rsid w:val="324A2389"/>
    <w:rsid w:val="324C6402"/>
    <w:rsid w:val="324E00CB"/>
    <w:rsid w:val="324F174E"/>
    <w:rsid w:val="324F5BF1"/>
    <w:rsid w:val="32502792"/>
    <w:rsid w:val="325064AA"/>
    <w:rsid w:val="325154C6"/>
    <w:rsid w:val="32566F80"/>
    <w:rsid w:val="32594867"/>
    <w:rsid w:val="325A6A70"/>
    <w:rsid w:val="325B0FE6"/>
    <w:rsid w:val="325D20BC"/>
    <w:rsid w:val="325E4D95"/>
    <w:rsid w:val="32601BAD"/>
    <w:rsid w:val="3260465F"/>
    <w:rsid w:val="32607DFF"/>
    <w:rsid w:val="32612937"/>
    <w:rsid w:val="32625925"/>
    <w:rsid w:val="326276D3"/>
    <w:rsid w:val="3264169D"/>
    <w:rsid w:val="3267118D"/>
    <w:rsid w:val="32674CE9"/>
    <w:rsid w:val="326A2A2B"/>
    <w:rsid w:val="326A47D9"/>
    <w:rsid w:val="326A6587"/>
    <w:rsid w:val="326D6980"/>
    <w:rsid w:val="326F1422"/>
    <w:rsid w:val="327306FD"/>
    <w:rsid w:val="32737B32"/>
    <w:rsid w:val="32745651"/>
    <w:rsid w:val="32780CA4"/>
    <w:rsid w:val="32794A1C"/>
    <w:rsid w:val="327B2543"/>
    <w:rsid w:val="327C3D89"/>
    <w:rsid w:val="327D17AF"/>
    <w:rsid w:val="327D275F"/>
    <w:rsid w:val="327D62BB"/>
    <w:rsid w:val="32821B23"/>
    <w:rsid w:val="328238D1"/>
    <w:rsid w:val="32843928"/>
    <w:rsid w:val="32870EE7"/>
    <w:rsid w:val="32892EB1"/>
    <w:rsid w:val="328A6C2A"/>
    <w:rsid w:val="328B5243"/>
    <w:rsid w:val="328D3845"/>
    <w:rsid w:val="328E671A"/>
    <w:rsid w:val="32931F82"/>
    <w:rsid w:val="32935ADE"/>
    <w:rsid w:val="32954240"/>
    <w:rsid w:val="3296737C"/>
    <w:rsid w:val="329830F5"/>
    <w:rsid w:val="32990C1B"/>
    <w:rsid w:val="329A50BF"/>
    <w:rsid w:val="329B2BE5"/>
    <w:rsid w:val="329D394F"/>
    <w:rsid w:val="32A001FB"/>
    <w:rsid w:val="32A0644D"/>
    <w:rsid w:val="32A10BAA"/>
    <w:rsid w:val="32A26E1B"/>
    <w:rsid w:val="32A30753"/>
    <w:rsid w:val="32A45F3D"/>
    <w:rsid w:val="32A55811"/>
    <w:rsid w:val="32A61CB5"/>
    <w:rsid w:val="32A7158A"/>
    <w:rsid w:val="32A73338"/>
    <w:rsid w:val="32A93554"/>
    <w:rsid w:val="32AB107A"/>
    <w:rsid w:val="32AB72CC"/>
    <w:rsid w:val="32AC094E"/>
    <w:rsid w:val="32AC6BA0"/>
    <w:rsid w:val="32AF09B7"/>
    <w:rsid w:val="32B048E2"/>
    <w:rsid w:val="32B13BE4"/>
    <w:rsid w:val="32B21B2F"/>
    <w:rsid w:val="32B31CDC"/>
    <w:rsid w:val="32B55A55"/>
    <w:rsid w:val="32B83797"/>
    <w:rsid w:val="32B85545"/>
    <w:rsid w:val="32BD2B5B"/>
    <w:rsid w:val="32BF4B25"/>
    <w:rsid w:val="32BF68D3"/>
    <w:rsid w:val="32C043F9"/>
    <w:rsid w:val="32C1089D"/>
    <w:rsid w:val="32C16A53"/>
    <w:rsid w:val="32C35685"/>
    <w:rsid w:val="32C6443A"/>
    <w:rsid w:val="32C65EB4"/>
    <w:rsid w:val="32C71C2C"/>
    <w:rsid w:val="32C959A4"/>
    <w:rsid w:val="32CB171C"/>
    <w:rsid w:val="32CE2FBA"/>
    <w:rsid w:val="32D0288E"/>
    <w:rsid w:val="32D06D32"/>
    <w:rsid w:val="32D15BEA"/>
    <w:rsid w:val="32D332B5"/>
    <w:rsid w:val="32D54349"/>
    <w:rsid w:val="32D61E6F"/>
    <w:rsid w:val="32D8384A"/>
    <w:rsid w:val="32D85BE7"/>
    <w:rsid w:val="32DC2756"/>
    <w:rsid w:val="32DD31FD"/>
    <w:rsid w:val="32E02F1F"/>
    <w:rsid w:val="32E0346C"/>
    <w:rsid w:val="32E12CEE"/>
    <w:rsid w:val="32E4458C"/>
    <w:rsid w:val="32E77BD8"/>
    <w:rsid w:val="32EB1476"/>
    <w:rsid w:val="32ED1692"/>
    <w:rsid w:val="32EE0F67"/>
    <w:rsid w:val="32EF6EC5"/>
    <w:rsid w:val="32F02F31"/>
    <w:rsid w:val="32F02F60"/>
    <w:rsid w:val="32F10A57"/>
    <w:rsid w:val="32F26CA9"/>
    <w:rsid w:val="32F32A21"/>
    <w:rsid w:val="32F42D71"/>
    <w:rsid w:val="32F6606D"/>
    <w:rsid w:val="32F719A3"/>
    <w:rsid w:val="32F95CB7"/>
    <w:rsid w:val="32FA790B"/>
    <w:rsid w:val="32FC7B27"/>
    <w:rsid w:val="33022C64"/>
    <w:rsid w:val="33024A12"/>
    <w:rsid w:val="33043FA7"/>
    <w:rsid w:val="330469DC"/>
    <w:rsid w:val="33077209"/>
    <w:rsid w:val="330B38C7"/>
    <w:rsid w:val="330E33B7"/>
    <w:rsid w:val="330E70A8"/>
    <w:rsid w:val="33114C55"/>
    <w:rsid w:val="33116A44"/>
    <w:rsid w:val="331229EA"/>
    <w:rsid w:val="3316226B"/>
    <w:rsid w:val="33182487"/>
    <w:rsid w:val="33184235"/>
    <w:rsid w:val="33185FE3"/>
    <w:rsid w:val="331A1D5C"/>
    <w:rsid w:val="331D184C"/>
    <w:rsid w:val="331F3816"/>
    <w:rsid w:val="33235DEF"/>
    <w:rsid w:val="332364E3"/>
    <w:rsid w:val="332532E0"/>
    <w:rsid w:val="33274478"/>
    <w:rsid w:val="332901F1"/>
    <w:rsid w:val="332B21BB"/>
    <w:rsid w:val="332B5D17"/>
    <w:rsid w:val="332C1A8F"/>
    <w:rsid w:val="332D5F33"/>
    <w:rsid w:val="332E5807"/>
    <w:rsid w:val="333003F3"/>
    <w:rsid w:val="33301B34"/>
    <w:rsid w:val="33302999"/>
    <w:rsid w:val="3330332D"/>
    <w:rsid w:val="3333106F"/>
    <w:rsid w:val="3334695E"/>
    <w:rsid w:val="333472C1"/>
    <w:rsid w:val="33370B5F"/>
    <w:rsid w:val="333A41AC"/>
    <w:rsid w:val="333B5506"/>
    <w:rsid w:val="333F3E87"/>
    <w:rsid w:val="333F5C66"/>
    <w:rsid w:val="333F7A14"/>
    <w:rsid w:val="3341378C"/>
    <w:rsid w:val="3341553A"/>
    <w:rsid w:val="33447CF9"/>
    <w:rsid w:val="334868C9"/>
    <w:rsid w:val="334D3839"/>
    <w:rsid w:val="334E7C57"/>
    <w:rsid w:val="334F40FB"/>
    <w:rsid w:val="3350629C"/>
    <w:rsid w:val="335135AD"/>
    <w:rsid w:val="335214F5"/>
    <w:rsid w:val="33525999"/>
    <w:rsid w:val="335334BF"/>
    <w:rsid w:val="3353526D"/>
    <w:rsid w:val="33572FB0"/>
    <w:rsid w:val="33577870"/>
    <w:rsid w:val="33590AD6"/>
    <w:rsid w:val="335A65FC"/>
    <w:rsid w:val="335C2374"/>
    <w:rsid w:val="335C4122"/>
    <w:rsid w:val="335F1E64"/>
    <w:rsid w:val="33631954"/>
    <w:rsid w:val="336456CD"/>
    <w:rsid w:val="3364747B"/>
    <w:rsid w:val="33673093"/>
    <w:rsid w:val="33677B8F"/>
    <w:rsid w:val="336851BD"/>
    <w:rsid w:val="3369683F"/>
    <w:rsid w:val="336B2EA4"/>
    <w:rsid w:val="336B6A5B"/>
    <w:rsid w:val="336D27D3"/>
    <w:rsid w:val="336D632F"/>
    <w:rsid w:val="336E20A7"/>
    <w:rsid w:val="336F70E4"/>
    <w:rsid w:val="337156D3"/>
    <w:rsid w:val="33753436"/>
    <w:rsid w:val="337551E4"/>
    <w:rsid w:val="33775400"/>
    <w:rsid w:val="337771AE"/>
    <w:rsid w:val="337C2EF9"/>
    <w:rsid w:val="337E08C4"/>
    <w:rsid w:val="337E0C62"/>
    <w:rsid w:val="337E678E"/>
    <w:rsid w:val="337F1800"/>
    <w:rsid w:val="337F42B4"/>
    <w:rsid w:val="3381002D"/>
    <w:rsid w:val="3381627F"/>
    <w:rsid w:val="33837901"/>
    <w:rsid w:val="33843679"/>
    <w:rsid w:val="33893D77"/>
    <w:rsid w:val="338A5133"/>
    <w:rsid w:val="338B2639"/>
    <w:rsid w:val="338B4A07"/>
    <w:rsid w:val="338C391E"/>
    <w:rsid w:val="338D077F"/>
    <w:rsid w:val="338E62A6"/>
    <w:rsid w:val="33922C06"/>
    <w:rsid w:val="33945FB2"/>
    <w:rsid w:val="33953AD8"/>
    <w:rsid w:val="33955886"/>
    <w:rsid w:val="339715FE"/>
    <w:rsid w:val="33977850"/>
    <w:rsid w:val="33983602"/>
    <w:rsid w:val="339A2E9C"/>
    <w:rsid w:val="339C4E66"/>
    <w:rsid w:val="339E298D"/>
    <w:rsid w:val="33A31D51"/>
    <w:rsid w:val="33A41BA5"/>
    <w:rsid w:val="33A53D1B"/>
    <w:rsid w:val="33A65CE5"/>
    <w:rsid w:val="33A8380B"/>
    <w:rsid w:val="33A855B9"/>
    <w:rsid w:val="33A87367"/>
    <w:rsid w:val="33AA1331"/>
    <w:rsid w:val="33AB1A78"/>
    <w:rsid w:val="33AB50A9"/>
    <w:rsid w:val="33AB6E58"/>
    <w:rsid w:val="33AC25F0"/>
    <w:rsid w:val="33AD0E22"/>
    <w:rsid w:val="33AD7074"/>
    <w:rsid w:val="33AF4B9A"/>
    <w:rsid w:val="33B201E6"/>
    <w:rsid w:val="33B4169A"/>
    <w:rsid w:val="33B42B10"/>
    <w:rsid w:val="33B51F64"/>
    <w:rsid w:val="33B73A4E"/>
    <w:rsid w:val="33B757FC"/>
    <w:rsid w:val="33B823B2"/>
    <w:rsid w:val="33BA709B"/>
    <w:rsid w:val="33BC2E13"/>
    <w:rsid w:val="33C148CD"/>
    <w:rsid w:val="33C30645"/>
    <w:rsid w:val="33C323F3"/>
    <w:rsid w:val="33C341A1"/>
    <w:rsid w:val="33C50269"/>
    <w:rsid w:val="33C57F19"/>
    <w:rsid w:val="33C63C91"/>
    <w:rsid w:val="33C77B10"/>
    <w:rsid w:val="33C817B8"/>
    <w:rsid w:val="33C85C5B"/>
    <w:rsid w:val="33CB12A8"/>
    <w:rsid w:val="33CE3CE5"/>
    <w:rsid w:val="33CF0D98"/>
    <w:rsid w:val="33CF2B46"/>
    <w:rsid w:val="33D04B10"/>
    <w:rsid w:val="33D12D62"/>
    <w:rsid w:val="33D6148D"/>
    <w:rsid w:val="33D67F1A"/>
    <w:rsid w:val="33D77C4D"/>
    <w:rsid w:val="33D87B9A"/>
    <w:rsid w:val="33D91F25"/>
    <w:rsid w:val="33D95773"/>
    <w:rsid w:val="33D9667A"/>
    <w:rsid w:val="33D97E69"/>
    <w:rsid w:val="33DA55A4"/>
    <w:rsid w:val="33DE0FDB"/>
    <w:rsid w:val="33DE722D"/>
    <w:rsid w:val="33DF3FEB"/>
    <w:rsid w:val="33E02FA5"/>
    <w:rsid w:val="33E34843"/>
    <w:rsid w:val="33E505BB"/>
    <w:rsid w:val="33E52369"/>
    <w:rsid w:val="33E67E90"/>
    <w:rsid w:val="33E74334"/>
    <w:rsid w:val="33E81E5A"/>
    <w:rsid w:val="33EA3850"/>
    <w:rsid w:val="33EB0FE6"/>
    <w:rsid w:val="33EF414B"/>
    <w:rsid w:val="33F20F2A"/>
    <w:rsid w:val="33F22CD8"/>
    <w:rsid w:val="33F33F5C"/>
    <w:rsid w:val="33F627C9"/>
    <w:rsid w:val="33F97BC3"/>
    <w:rsid w:val="33FB7DDF"/>
    <w:rsid w:val="33FD3B57"/>
    <w:rsid w:val="33FF7F7E"/>
    <w:rsid w:val="3402227D"/>
    <w:rsid w:val="34030A42"/>
    <w:rsid w:val="34050C5E"/>
    <w:rsid w:val="340622E0"/>
    <w:rsid w:val="340824FC"/>
    <w:rsid w:val="340842AA"/>
    <w:rsid w:val="3409735C"/>
    <w:rsid w:val="340A3FF0"/>
    <w:rsid w:val="340B21E3"/>
    <w:rsid w:val="340B78F6"/>
    <w:rsid w:val="340C2973"/>
    <w:rsid w:val="340C3D9A"/>
    <w:rsid w:val="340E0B64"/>
    <w:rsid w:val="340F388A"/>
    <w:rsid w:val="340F5638"/>
    <w:rsid w:val="340F73E6"/>
    <w:rsid w:val="34120C85"/>
    <w:rsid w:val="341215C2"/>
    <w:rsid w:val="341344FC"/>
    <w:rsid w:val="3413609D"/>
    <w:rsid w:val="34164C19"/>
    <w:rsid w:val="34185F28"/>
    <w:rsid w:val="341E1D1F"/>
    <w:rsid w:val="341E3ACD"/>
    <w:rsid w:val="341E587B"/>
    <w:rsid w:val="3422536C"/>
    <w:rsid w:val="342509B8"/>
    <w:rsid w:val="3425595B"/>
    <w:rsid w:val="34274EEA"/>
    <w:rsid w:val="3428494C"/>
    <w:rsid w:val="342973F2"/>
    <w:rsid w:val="342A033D"/>
    <w:rsid w:val="342A2472"/>
    <w:rsid w:val="342A4220"/>
    <w:rsid w:val="342A5BA5"/>
    <w:rsid w:val="342B1D46"/>
    <w:rsid w:val="342C54EE"/>
    <w:rsid w:val="34311A53"/>
    <w:rsid w:val="34313801"/>
    <w:rsid w:val="3434509F"/>
    <w:rsid w:val="34362BC5"/>
    <w:rsid w:val="34367069"/>
    <w:rsid w:val="34384B8F"/>
    <w:rsid w:val="34394463"/>
    <w:rsid w:val="343A7E32"/>
    <w:rsid w:val="343E5F1E"/>
    <w:rsid w:val="344057F2"/>
    <w:rsid w:val="344352E2"/>
    <w:rsid w:val="344415E9"/>
    <w:rsid w:val="34441786"/>
    <w:rsid w:val="34452E08"/>
    <w:rsid w:val="344572AC"/>
    <w:rsid w:val="34473024"/>
    <w:rsid w:val="34491C1C"/>
    <w:rsid w:val="344A0DB7"/>
    <w:rsid w:val="344A2B14"/>
    <w:rsid w:val="344D6161"/>
    <w:rsid w:val="344E43B3"/>
    <w:rsid w:val="345179FF"/>
    <w:rsid w:val="34525525"/>
    <w:rsid w:val="345319C9"/>
    <w:rsid w:val="34533777"/>
    <w:rsid w:val="34565015"/>
    <w:rsid w:val="34586FDF"/>
    <w:rsid w:val="3459310A"/>
    <w:rsid w:val="345B6AD0"/>
    <w:rsid w:val="345F2A91"/>
    <w:rsid w:val="34605E94"/>
    <w:rsid w:val="3461446D"/>
    <w:rsid w:val="346144FA"/>
    <w:rsid w:val="346534AA"/>
    <w:rsid w:val="34670FD0"/>
    <w:rsid w:val="34675474"/>
    <w:rsid w:val="346A286F"/>
    <w:rsid w:val="346D235F"/>
    <w:rsid w:val="3474193F"/>
    <w:rsid w:val="347436ED"/>
    <w:rsid w:val="347656B7"/>
    <w:rsid w:val="34776692"/>
    <w:rsid w:val="34781430"/>
    <w:rsid w:val="347A51A8"/>
    <w:rsid w:val="347B0F20"/>
    <w:rsid w:val="347B2C27"/>
    <w:rsid w:val="347B2CCE"/>
    <w:rsid w:val="347D25A2"/>
    <w:rsid w:val="347D6A46"/>
    <w:rsid w:val="347F00F6"/>
    <w:rsid w:val="34802092"/>
    <w:rsid w:val="3482441C"/>
    <w:rsid w:val="348558FB"/>
    <w:rsid w:val="348576A9"/>
    <w:rsid w:val="348778C5"/>
    <w:rsid w:val="3489363D"/>
    <w:rsid w:val="348953EB"/>
    <w:rsid w:val="348C0A37"/>
    <w:rsid w:val="3491429F"/>
    <w:rsid w:val="34917CBD"/>
    <w:rsid w:val="34945B3E"/>
    <w:rsid w:val="34951FE2"/>
    <w:rsid w:val="349618B6"/>
    <w:rsid w:val="34967B08"/>
    <w:rsid w:val="349A13A6"/>
    <w:rsid w:val="349E2F7E"/>
    <w:rsid w:val="349F158C"/>
    <w:rsid w:val="34A0589E"/>
    <w:rsid w:val="34A118FF"/>
    <w:rsid w:val="34A22009"/>
    <w:rsid w:val="34A22AE6"/>
    <w:rsid w:val="34A83397"/>
    <w:rsid w:val="34A915E9"/>
    <w:rsid w:val="34A9783B"/>
    <w:rsid w:val="34AB35B3"/>
    <w:rsid w:val="34AC2E87"/>
    <w:rsid w:val="34AE30A3"/>
    <w:rsid w:val="34AF0359"/>
    <w:rsid w:val="34AF1476"/>
    <w:rsid w:val="34AF2977"/>
    <w:rsid w:val="34B00BC9"/>
    <w:rsid w:val="34B14942"/>
    <w:rsid w:val="34B1503B"/>
    <w:rsid w:val="34B32468"/>
    <w:rsid w:val="34B34216"/>
    <w:rsid w:val="34B451A4"/>
    <w:rsid w:val="34B468E5"/>
    <w:rsid w:val="34B54432"/>
    <w:rsid w:val="34B63D06"/>
    <w:rsid w:val="34B87A7E"/>
    <w:rsid w:val="34BB30CA"/>
    <w:rsid w:val="34BD32E6"/>
    <w:rsid w:val="34C04B85"/>
    <w:rsid w:val="34C04E88"/>
    <w:rsid w:val="34C06702"/>
    <w:rsid w:val="34C17667"/>
    <w:rsid w:val="34C53F49"/>
    <w:rsid w:val="34C71A6F"/>
    <w:rsid w:val="34C74165"/>
    <w:rsid w:val="34C93A39"/>
    <w:rsid w:val="34CA0803"/>
    <w:rsid w:val="34CA155F"/>
    <w:rsid w:val="34CB6758"/>
    <w:rsid w:val="34CC177B"/>
    <w:rsid w:val="34CC65D3"/>
    <w:rsid w:val="34CF6B76"/>
    <w:rsid w:val="34D0301A"/>
    <w:rsid w:val="34D16D92"/>
    <w:rsid w:val="34D32B0A"/>
    <w:rsid w:val="34D4418C"/>
    <w:rsid w:val="34D67F04"/>
    <w:rsid w:val="34D7310F"/>
    <w:rsid w:val="34DA79F4"/>
    <w:rsid w:val="34DB19BE"/>
    <w:rsid w:val="34DC5D6B"/>
    <w:rsid w:val="34DD74E5"/>
    <w:rsid w:val="34DF325D"/>
    <w:rsid w:val="34DF500B"/>
    <w:rsid w:val="34E16FD5"/>
    <w:rsid w:val="34E24AFB"/>
    <w:rsid w:val="34E50E91"/>
    <w:rsid w:val="34E72111"/>
    <w:rsid w:val="34E814C3"/>
    <w:rsid w:val="34E95E89"/>
    <w:rsid w:val="34EC3BCC"/>
    <w:rsid w:val="34EC7728"/>
    <w:rsid w:val="34EE16F2"/>
    <w:rsid w:val="34EE524E"/>
    <w:rsid w:val="34F0546A"/>
    <w:rsid w:val="34F07218"/>
    <w:rsid w:val="34F14D3E"/>
    <w:rsid w:val="34F32864"/>
    <w:rsid w:val="34F36D08"/>
    <w:rsid w:val="34F52A80"/>
    <w:rsid w:val="34F5482E"/>
    <w:rsid w:val="34F82570"/>
    <w:rsid w:val="34F83C0C"/>
    <w:rsid w:val="34F8431E"/>
    <w:rsid w:val="34F97E4B"/>
    <w:rsid w:val="34FD2CC6"/>
    <w:rsid w:val="34FD36E3"/>
    <w:rsid w:val="34FD7B87"/>
    <w:rsid w:val="34FF745B"/>
    <w:rsid w:val="3500231B"/>
    <w:rsid w:val="350031D3"/>
    <w:rsid w:val="35016E00"/>
    <w:rsid w:val="35030C9C"/>
    <w:rsid w:val="35050DD3"/>
    <w:rsid w:val="35053B7D"/>
    <w:rsid w:val="350607E9"/>
    <w:rsid w:val="35066905"/>
    <w:rsid w:val="35076310"/>
    <w:rsid w:val="35081F3D"/>
    <w:rsid w:val="3508367E"/>
    <w:rsid w:val="350B22A4"/>
    <w:rsid w:val="351006CF"/>
    <w:rsid w:val="35103416"/>
    <w:rsid w:val="351132A0"/>
    <w:rsid w:val="3511718E"/>
    <w:rsid w:val="35123632"/>
    <w:rsid w:val="35131158"/>
    <w:rsid w:val="35164541"/>
    <w:rsid w:val="35187E08"/>
    <w:rsid w:val="351B6F23"/>
    <w:rsid w:val="351C625F"/>
    <w:rsid w:val="351F3659"/>
    <w:rsid w:val="351F684A"/>
    <w:rsid w:val="35213875"/>
    <w:rsid w:val="35215623"/>
    <w:rsid w:val="35246EC1"/>
    <w:rsid w:val="352754C6"/>
    <w:rsid w:val="352C3FC8"/>
    <w:rsid w:val="352E7D40"/>
    <w:rsid w:val="35305866"/>
    <w:rsid w:val="3531125E"/>
    <w:rsid w:val="35325A82"/>
    <w:rsid w:val="353335A8"/>
    <w:rsid w:val="35374E47"/>
    <w:rsid w:val="35377D5A"/>
    <w:rsid w:val="3538602B"/>
    <w:rsid w:val="35386E11"/>
    <w:rsid w:val="353A0493"/>
    <w:rsid w:val="353B4DCC"/>
    <w:rsid w:val="353D7F83"/>
    <w:rsid w:val="353F3CFB"/>
    <w:rsid w:val="35411630"/>
    <w:rsid w:val="35411821"/>
    <w:rsid w:val="35417A73"/>
    <w:rsid w:val="354220CE"/>
    <w:rsid w:val="35450A4F"/>
    <w:rsid w:val="35452190"/>
    <w:rsid w:val="3545783E"/>
    <w:rsid w:val="3546508A"/>
    <w:rsid w:val="35466E38"/>
    <w:rsid w:val="35474AB0"/>
    <w:rsid w:val="35487054"/>
    <w:rsid w:val="35496928"/>
    <w:rsid w:val="354D6418"/>
    <w:rsid w:val="35505F08"/>
    <w:rsid w:val="355157DD"/>
    <w:rsid w:val="35521BC3"/>
    <w:rsid w:val="35535965"/>
    <w:rsid w:val="355359F9"/>
    <w:rsid w:val="355377A7"/>
    <w:rsid w:val="355754E9"/>
    <w:rsid w:val="35587542"/>
    <w:rsid w:val="355E0625"/>
    <w:rsid w:val="355F41C7"/>
    <w:rsid w:val="355F439E"/>
    <w:rsid w:val="355F614C"/>
    <w:rsid w:val="35611EC4"/>
    <w:rsid w:val="3566572C"/>
    <w:rsid w:val="356674DA"/>
    <w:rsid w:val="35683252"/>
    <w:rsid w:val="35690D78"/>
    <w:rsid w:val="3569521C"/>
    <w:rsid w:val="356D0868"/>
    <w:rsid w:val="356D6ABA"/>
    <w:rsid w:val="356E2F43"/>
    <w:rsid w:val="356E7C5B"/>
    <w:rsid w:val="35727C2D"/>
    <w:rsid w:val="35747E49"/>
    <w:rsid w:val="3575596F"/>
    <w:rsid w:val="3578720D"/>
    <w:rsid w:val="357B2720"/>
    <w:rsid w:val="357C6CFE"/>
    <w:rsid w:val="357D65D2"/>
    <w:rsid w:val="357E2A76"/>
    <w:rsid w:val="35812566"/>
    <w:rsid w:val="35814314"/>
    <w:rsid w:val="35867B7C"/>
    <w:rsid w:val="358838F4"/>
    <w:rsid w:val="358B0CEF"/>
    <w:rsid w:val="358B5193"/>
    <w:rsid w:val="358F05CF"/>
    <w:rsid w:val="35902FF5"/>
    <w:rsid w:val="359202CF"/>
    <w:rsid w:val="35926521"/>
    <w:rsid w:val="35931348"/>
    <w:rsid w:val="35935DF5"/>
    <w:rsid w:val="35944047"/>
    <w:rsid w:val="35951B6D"/>
    <w:rsid w:val="35957DBF"/>
    <w:rsid w:val="35977693"/>
    <w:rsid w:val="359A4D8B"/>
    <w:rsid w:val="359C114E"/>
    <w:rsid w:val="359C2EFC"/>
    <w:rsid w:val="359E6C74"/>
    <w:rsid w:val="359F29EC"/>
    <w:rsid w:val="359F479A"/>
    <w:rsid w:val="35A16764"/>
    <w:rsid w:val="35A40002"/>
    <w:rsid w:val="35A85D44"/>
    <w:rsid w:val="35AF55A2"/>
    <w:rsid w:val="35B00755"/>
    <w:rsid w:val="35B03DBA"/>
    <w:rsid w:val="35B2271F"/>
    <w:rsid w:val="35B244CD"/>
    <w:rsid w:val="35B5220F"/>
    <w:rsid w:val="35B538E8"/>
    <w:rsid w:val="35BA7826"/>
    <w:rsid w:val="35BB5A78"/>
    <w:rsid w:val="35BB6E36"/>
    <w:rsid w:val="35BC17F0"/>
    <w:rsid w:val="35BD0D94"/>
    <w:rsid w:val="35BE7316"/>
    <w:rsid w:val="35C236B1"/>
    <w:rsid w:val="35C506A4"/>
    <w:rsid w:val="35C6441D"/>
    <w:rsid w:val="35C66D41"/>
    <w:rsid w:val="35C67F79"/>
    <w:rsid w:val="35C81F43"/>
    <w:rsid w:val="35C97A69"/>
    <w:rsid w:val="35CA11B9"/>
    <w:rsid w:val="35CB37E1"/>
    <w:rsid w:val="35CC3135"/>
    <w:rsid w:val="35CC4B52"/>
    <w:rsid w:val="35CD1307"/>
    <w:rsid w:val="35CD57AB"/>
    <w:rsid w:val="35CF32D1"/>
    <w:rsid w:val="35D00488"/>
    <w:rsid w:val="35D2691D"/>
    <w:rsid w:val="35D76BCF"/>
    <w:rsid w:val="35DA584C"/>
    <w:rsid w:val="35DB7EC8"/>
    <w:rsid w:val="35DC016C"/>
    <w:rsid w:val="35DC779C"/>
    <w:rsid w:val="35DE019D"/>
    <w:rsid w:val="35DE3514"/>
    <w:rsid w:val="35DE52C2"/>
    <w:rsid w:val="35DF6AED"/>
    <w:rsid w:val="35E13004"/>
    <w:rsid w:val="35E14DB3"/>
    <w:rsid w:val="35E25893"/>
    <w:rsid w:val="35E30B2B"/>
    <w:rsid w:val="35E46651"/>
    <w:rsid w:val="35E52AF5"/>
    <w:rsid w:val="35E6061B"/>
    <w:rsid w:val="35EA1EB9"/>
    <w:rsid w:val="35EB0285"/>
    <w:rsid w:val="35EC7C60"/>
    <w:rsid w:val="35ED7BFB"/>
    <w:rsid w:val="35F02246"/>
    <w:rsid w:val="35F03248"/>
    <w:rsid w:val="35F1149A"/>
    <w:rsid w:val="35F25B12"/>
    <w:rsid w:val="35F40F8A"/>
    <w:rsid w:val="35F745D6"/>
    <w:rsid w:val="35F76384"/>
    <w:rsid w:val="35FA5E74"/>
    <w:rsid w:val="35FC7E3E"/>
    <w:rsid w:val="35FF348B"/>
    <w:rsid w:val="3600792F"/>
    <w:rsid w:val="36015455"/>
    <w:rsid w:val="3608233F"/>
    <w:rsid w:val="360A60B7"/>
    <w:rsid w:val="360B1E2F"/>
    <w:rsid w:val="360B765A"/>
    <w:rsid w:val="360C1F8B"/>
    <w:rsid w:val="360D3DFA"/>
    <w:rsid w:val="361231BE"/>
    <w:rsid w:val="36154A5C"/>
    <w:rsid w:val="3619553C"/>
    <w:rsid w:val="361A4768"/>
    <w:rsid w:val="361B02C4"/>
    <w:rsid w:val="361C228F"/>
    <w:rsid w:val="361C403D"/>
    <w:rsid w:val="361C5DEB"/>
    <w:rsid w:val="36201D7F"/>
    <w:rsid w:val="362058DB"/>
    <w:rsid w:val="36227B44"/>
    <w:rsid w:val="3627310D"/>
    <w:rsid w:val="36274EBB"/>
    <w:rsid w:val="362A0508"/>
    <w:rsid w:val="362A675A"/>
    <w:rsid w:val="362B4280"/>
    <w:rsid w:val="362C0724"/>
    <w:rsid w:val="362D24BD"/>
    <w:rsid w:val="362D7FF8"/>
    <w:rsid w:val="362F3D70"/>
    <w:rsid w:val="36323860"/>
    <w:rsid w:val="36341386"/>
    <w:rsid w:val="36363350"/>
    <w:rsid w:val="363671DC"/>
    <w:rsid w:val="36394BEF"/>
    <w:rsid w:val="3639699D"/>
    <w:rsid w:val="363C648D"/>
    <w:rsid w:val="36405F7D"/>
    <w:rsid w:val="3641098E"/>
    <w:rsid w:val="36430014"/>
    <w:rsid w:val="36455341"/>
    <w:rsid w:val="364777EF"/>
    <w:rsid w:val="36484E32"/>
    <w:rsid w:val="36486BE0"/>
    <w:rsid w:val="364A0BAA"/>
    <w:rsid w:val="364D069A"/>
    <w:rsid w:val="364F61C0"/>
    <w:rsid w:val="364F7F6E"/>
    <w:rsid w:val="3650458C"/>
    <w:rsid w:val="36525CB0"/>
    <w:rsid w:val="36555259"/>
    <w:rsid w:val="3659703F"/>
    <w:rsid w:val="365B39B9"/>
    <w:rsid w:val="365D08DD"/>
    <w:rsid w:val="3660217B"/>
    <w:rsid w:val="36603F29"/>
    <w:rsid w:val="36637EBD"/>
    <w:rsid w:val="366A7AFE"/>
    <w:rsid w:val="366B28CE"/>
    <w:rsid w:val="366D4898"/>
    <w:rsid w:val="366D6646"/>
    <w:rsid w:val="366F0610"/>
    <w:rsid w:val="366F23BE"/>
    <w:rsid w:val="366F6336"/>
    <w:rsid w:val="36714388"/>
    <w:rsid w:val="36721EAF"/>
    <w:rsid w:val="36743E79"/>
    <w:rsid w:val="36745C27"/>
    <w:rsid w:val="3674681F"/>
    <w:rsid w:val="3676374D"/>
    <w:rsid w:val="36767BF1"/>
    <w:rsid w:val="36771BA1"/>
    <w:rsid w:val="36785717"/>
    <w:rsid w:val="367D2D2D"/>
    <w:rsid w:val="367E2601"/>
    <w:rsid w:val="36820344"/>
    <w:rsid w:val="368340BC"/>
    <w:rsid w:val="3684230E"/>
    <w:rsid w:val="36853990"/>
    <w:rsid w:val="36857E34"/>
    <w:rsid w:val="36876F7E"/>
    <w:rsid w:val="368A544A"/>
    <w:rsid w:val="368C11C2"/>
    <w:rsid w:val="368C2F70"/>
    <w:rsid w:val="368C4D1E"/>
    <w:rsid w:val="368F0CB2"/>
    <w:rsid w:val="36910587"/>
    <w:rsid w:val="369260AD"/>
    <w:rsid w:val="369342FF"/>
    <w:rsid w:val="369473F8"/>
    <w:rsid w:val="36965B9D"/>
    <w:rsid w:val="3697337F"/>
    <w:rsid w:val="36987B67"/>
    <w:rsid w:val="3699519F"/>
    <w:rsid w:val="3699568D"/>
    <w:rsid w:val="369D33CF"/>
    <w:rsid w:val="369E0BFD"/>
    <w:rsid w:val="369E0EF6"/>
    <w:rsid w:val="369F6096"/>
    <w:rsid w:val="36A007CA"/>
    <w:rsid w:val="36A54032"/>
    <w:rsid w:val="36A63BA7"/>
    <w:rsid w:val="36A71B58"/>
    <w:rsid w:val="36AA33F6"/>
    <w:rsid w:val="36AA5AEC"/>
    <w:rsid w:val="36AC3612"/>
    <w:rsid w:val="36AE2AD7"/>
    <w:rsid w:val="36AF6C5F"/>
    <w:rsid w:val="36B349A1"/>
    <w:rsid w:val="36B424C7"/>
    <w:rsid w:val="36B44A6A"/>
    <w:rsid w:val="36B6623F"/>
    <w:rsid w:val="36B83D65"/>
    <w:rsid w:val="36BA65F9"/>
    <w:rsid w:val="36BB20FF"/>
    <w:rsid w:val="36BB5604"/>
    <w:rsid w:val="36BC13F6"/>
    <w:rsid w:val="36BE50F4"/>
    <w:rsid w:val="36BF3346"/>
    <w:rsid w:val="36C02C1A"/>
    <w:rsid w:val="36C24BE4"/>
    <w:rsid w:val="36C46BAE"/>
    <w:rsid w:val="36C546D4"/>
    <w:rsid w:val="36C73FA8"/>
    <w:rsid w:val="36C84394"/>
    <w:rsid w:val="36CA3A99"/>
    <w:rsid w:val="36CE17DB"/>
    <w:rsid w:val="36CE3589"/>
    <w:rsid w:val="36CF10AF"/>
    <w:rsid w:val="36CF7301"/>
    <w:rsid w:val="36D14E27"/>
    <w:rsid w:val="36D16BD5"/>
    <w:rsid w:val="36D44917"/>
    <w:rsid w:val="36D952F5"/>
    <w:rsid w:val="36DA1DD6"/>
    <w:rsid w:val="36DA1F2E"/>
    <w:rsid w:val="36DB3EF8"/>
    <w:rsid w:val="36DD557A"/>
    <w:rsid w:val="36E0506A"/>
    <w:rsid w:val="36E13A87"/>
    <w:rsid w:val="36E25286"/>
    <w:rsid w:val="36E36908"/>
    <w:rsid w:val="36E508D2"/>
    <w:rsid w:val="36E52680"/>
    <w:rsid w:val="36E556BA"/>
    <w:rsid w:val="36E763F9"/>
    <w:rsid w:val="36EC1C61"/>
    <w:rsid w:val="36EC3A0F"/>
    <w:rsid w:val="36EE7787"/>
    <w:rsid w:val="36EF35A7"/>
    <w:rsid w:val="36F01751"/>
    <w:rsid w:val="36F11025"/>
    <w:rsid w:val="36F31241"/>
    <w:rsid w:val="36F33C0B"/>
    <w:rsid w:val="36F54FB9"/>
    <w:rsid w:val="36F6663C"/>
    <w:rsid w:val="36F80606"/>
    <w:rsid w:val="36F823B4"/>
    <w:rsid w:val="36FA13B3"/>
    <w:rsid w:val="36FD79CA"/>
    <w:rsid w:val="36FF7BE6"/>
    <w:rsid w:val="3700570C"/>
    <w:rsid w:val="370300D4"/>
    <w:rsid w:val="37046FAB"/>
    <w:rsid w:val="37052E82"/>
    <w:rsid w:val="37054AD1"/>
    <w:rsid w:val="370C2303"/>
    <w:rsid w:val="370C5E5F"/>
    <w:rsid w:val="370E7B58"/>
    <w:rsid w:val="370F76FD"/>
    <w:rsid w:val="37103BA1"/>
    <w:rsid w:val="37113475"/>
    <w:rsid w:val="37135440"/>
    <w:rsid w:val="37147DA6"/>
    <w:rsid w:val="37151B83"/>
    <w:rsid w:val="37164F30"/>
    <w:rsid w:val="371A4A20"/>
    <w:rsid w:val="371B60A2"/>
    <w:rsid w:val="371B7C79"/>
    <w:rsid w:val="371D62BE"/>
    <w:rsid w:val="371F5B92"/>
    <w:rsid w:val="372238D5"/>
    <w:rsid w:val="372431A9"/>
    <w:rsid w:val="37265173"/>
    <w:rsid w:val="3727713D"/>
    <w:rsid w:val="37294C63"/>
    <w:rsid w:val="372B09DB"/>
    <w:rsid w:val="372C02AF"/>
    <w:rsid w:val="372E4027"/>
    <w:rsid w:val="372E5DD5"/>
    <w:rsid w:val="373054F6"/>
    <w:rsid w:val="37307DA0"/>
    <w:rsid w:val="373158C6"/>
    <w:rsid w:val="37321D6A"/>
    <w:rsid w:val="37324A70"/>
    <w:rsid w:val="37337890"/>
    <w:rsid w:val="373553B6"/>
    <w:rsid w:val="37362AE8"/>
    <w:rsid w:val="37381826"/>
    <w:rsid w:val="37384EA6"/>
    <w:rsid w:val="373D070E"/>
    <w:rsid w:val="373F7FE3"/>
    <w:rsid w:val="374024B5"/>
    <w:rsid w:val="374047CB"/>
    <w:rsid w:val="37425D25"/>
    <w:rsid w:val="37490E61"/>
    <w:rsid w:val="37492C0F"/>
    <w:rsid w:val="374B2E2B"/>
    <w:rsid w:val="374C0952"/>
    <w:rsid w:val="374C50B7"/>
    <w:rsid w:val="37500442"/>
    <w:rsid w:val="37503F9E"/>
    <w:rsid w:val="375241BA"/>
    <w:rsid w:val="37531CE0"/>
    <w:rsid w:val="37537F32"/>
    <w:rsid w:val="3757357E"/>
    <w:rsid w:val="37575E0D"/>
    <w:rsid w:val="375810A4"/>
    <w:rsid w:val="375869AC"/>
    <w:rsid w:val="37587B5C"/>
    <w:rsid w:val="375C0B95"/>
    <w:rsid w:val="375C6DE7"/>
    <w:rsid w:val="375D2B5F"/>
    <w:rsid w:val="375E25FC"/>
    <w:rsid w:val="375F0685"/>
    <w:rsid w:val="376143FD"/>
    <w:rsid w:val="37623CD1"/>
    <w:rsid w:val="37644E97"/>
    <w:rsid w:val="37667C65"/>
    <w:rsid w:val="37677539"/>
    <w:rsid w:val="3768578B"/>
    <w:rsid w:val="376932B2"/>
    <w:rsid w:val="376C34BF"/>
    <w:rsid w:val="376D0FF4"/>
    <w:rsid w:val="376E08C8"/>
    <w:rsid w:val="376E2676"/>
    <w:rsid w:val="37736E97"/>
    <w:rsid w:val="37737C8C"/>
    <w:rsid w:val="3774310E"/>
    <w:rsid w:val="377743D1"/>
    <w:rsid w:val="37781747"/>
    <w:rsid w:val="377C1237"/>
    <w:rsid w:val="377C4D93"/>
    <w:rsid w:val="377F0D27"/>
    <w:rsid w:val="377F2AD5"/>
    <w:rsid w:val="3781684D"/>
    <w:rsid w:val="37826121"/>
    <w:rsid w:val="37841E99"/>
    <w:rsid w:val="37861808"/>
    <w:rsid w:val="37863E63"/>
    <w:rsid w:val="37865C12"/>
    <w:rsid w:val="37873738"/>
    <w:rsid w:val="37895702"/>
    <w:rsid w:val="378E4AC6"/>
    <w:rsid w:val="378F705B"/>
    <w:rsid w:val="3791691B"/>
    <w:rsid w:val="37922808"/>
    <w:rsid w:val="37931B73"/>
    <w:rsid w:val="379344BE"/>
    <w:rsid w:val="379522F8"/>
    <w:rsid w:val="379540A7"/>
    <w:rsid w:val="37955E55"/>
    <w:rsid w:val="37971BCD"/>
    <w:rsid w:val="37975AFC"/>
    <w:rsid w:val="37983B97"/>
    <w:rsid w:val="379A790F"/>
    <w:rsid w:val="379E11AD"/>
    <w:rsid w:val="379E73FF"/>
    <w:rsid w:val="379F6CD3"/>
    <w:rsid w:val="37A10C9D"/>
    <w:rsid w:val="37A147F9"/>
    <w:rsid w:val="37A367C3"/>
    <w:rsid w:val="37A66221"/>
    <w:rsid w:val="37A72AD7"/>
    <w:rsid w:val="37A776B1"/>
    <w:rsid w:val="37A8202C"/>
    <w:rsid w:val="37A91900"/>
    <w:rsid w:val="37AB5678"/>
    <w:rsid w:val="37AC319E"/>
    <w:rsid w:val="37AE6F16"/>
    <w:rsid w:val="37B26A07"/>
    <w:rsid w:val="37B502A5"/>
    <w:rsid w:val="37B7226F"/>
    <w:rsid w:val="37B7401D"/>
    <w:rsid w:val="37BA3B0D"/>
    <w:rsid w:val="37BA5B27"/>
    <w:rsid w:val="37BC5AD7"/>
    <w:rsid w:val="37BD53AB"/>
    <w:rsid w:val="37BE184F"/>
    <w:rsid w:val="37BE35FD"/>
    <w:rsid w:val="37BE5938"/>
    <w:rsid w:val="37BF2ED1"/>
    <w:rsid w:val="37C02A6A"/>
    <w:rsid w:val="37C33DE3"/>
    <w:rsid w:val="37C36E66"/>
    <w:rsid w:val="37C8622A"/>
    <w:rsid w:val="37C93D50"/>
    <w:rsid w:val="37CA01F4"/>
    <w:rsid w:val="37CB5D1A"/>
    <w:rsid w:val="37CE1367"/>
    <w:rsid w:val="37D050DF"/>
    <w:rsid w:val="37D20E57"/>
    <w:rsid w:val="37D50947"/>
    <w:rsid w:val="37D526F5"/>
    <w:rsid w:val="37D56B99"/>
    <w:rsid w:val="37D73397"/>
    <w:rsid w:val="37D7646D"/>
    <w:rsid w:val="37D83F93"/>
    <w:rsid w:val="37D921E5"/>
    <w:rsid w:val="37DC1CD5"/>
    <w:rsid w:val="37DE4F22"/>
    <w:rsid w:val="37E62B54"/>
    <w:rsid w:val="37E868CC"/>
    <w:rsid w:val="37ED5C91"/>
    <w:rsid w:val="37F05781"/>
    <w:rsid w:val="37F232A7"/>
    <w:rsid w:val="37F30DCD"/>
    <w:rsid w:val="37F54B45"/>
    <w:rsid w:val="37F7266B"/>
    <w:rsid w:val="37F92887"/>
    <w:rsid w:val="37FE01FA"/>
    <w:rsid w:val="37FE39FA"/>
    <w:rsid w:val="380134EA"/>
    <w:rsid w:val="38037262"/>
    <w:rsid w:val="38044D88"/>
    <w:rsid w:val="380500CD"/>
    <w:rsid w:val="380556F6"/>
    <w:rsid w:val="38080D1C"/>
    <w:rsid w:val="380A05F1"/>
    <w:rsid w:val="380B4369"/>
    <w:rsid w:val="380F5C07"/>
    <w:rsid w:val="3810197F"/>
    <w:rsid w:val="381226D1"/>
    <w:rsid w:val="38190834"/>
    <w:rsid w:val="381A45AC"/>
    <w:rsid w:val="381E409C"/>
    <w:rsid w:val="381E5E4A"/>
    <w:rsid w:val="38233460"/>
    <w:rsid w:val="3825542A"/>
    <w:rsid w:val="3828316D"/>
    <w:rsid w:val="38286CC9"/>
    <w:rsid w:val="382A2A41"/>
    <w:rsid w:val="382B67B9"/>
    <w:rsid w:val="382C4766"/>
    <w:rsid w:val="382F0057"/>
    <w:rsid w:val="383218F5"/>
    <w:rsid w:val="3833057A"/>
    <w:rsid w:val="38351CF6"/>
    <w:rsid w:val="38353194"/>
    <w:rsid w:val="38390ED6"/>
    <w:rsid w:val="383B49F8"/>
    <w:rsid w:val="383B4C4E"/>
    <w:rsid w:val="383C09C6"/>
    <w:rsid w:val="383C77C2"/>
    <w:rsid w:val="383E64EC"/>
    <w:rsid w:val="383F6BEC"/>
    <w:rsid w:val="38404012"/>
    <w:rsid w:val="38415FDC"/>
    <w:rsid w:val="3842422E"/>
    <w:rsid w:val="38453E1F"/>
    <w:rsid w:val="38465CC1"/>
    <w:rsid w:val="38477E80"/>
    <w:rsid w:val="38486DD2"/>
    <w:rsid w:val="38492DB1"/>
    <w:rsid w:val="384C6E5B"/>
    <w:rsid w:val="384D672F"/>
    <w:rsid w:val="384F11E3"/>
    <w:rsid w:val="384F24A7"/>
    <w:rsid w:val="385201EA"/>
    <w:rsid w:val="38523D46"/>
    <w:rsid w:val="38547ABE"/>
    <w:rsid w:val="38561A88"/>
    <w:rsid w:val="3857135C"/>
    <w:rsid w:val="385775AE"/>
    <w:rsid w:val="38591578"/>
    <w:rsid w:val="385A62F6"/>
    <w:rsid w:val="385B0683"/>
    <w:rsid w:val="385B709E"/>
    <w:rsid w:val="38601122"/>
    <w:rsid w:val="38602168"/>
    <w:rsid w:val="3862042D"/>
    <w:rsid w:val="38635F53"/>
    <w:rsid w:val="38637D01"/>
    <w:rsid w:val="3864141A"/>
    <w:rsid w:val="38651CCB"/>
    <w:rsid w:val="38653A79"/>
    <w:rsid w:val="38664899"/>
    <w:rsid w:val="386677F1"/>
    <w:rsid w:val="386817BB"/>
    <w:rsid w:val="386A108F"/>
    <w:rsid w:val="386B4E07"/>
    <w:rsid w:val="386C070B"/>
    <w:rsid w:val="386D0B7F"/>
    <w:rsid w:val="386D476C"/>
    <w:rsid w:val="386D6DD1"/>
    <w:rsid w:val="386F66A6"/>
    <w:rsid w:val="3870241E"/>
    <w:rsid w:val="387168C2"/>
    <w:rsid w:val="38726196"/>
    <w:rsid w:val="38743CBC"/>
    <w:rsid w:val="38762532"/>
    <w:rsid w:val="38765C86"/>
    <w:rsid w:val="387A583E"/>
    <w:rsid w:val="387B329C"/>
    <w:rsid w:val="387B504A"/>
    <w:rsid w:val="387E0FDF"/>
    <w:rsid w:val="387E4B3B"/>
    <w:rsid w:val="387E56F1"/>
    <w:rsid w:val="388114A1"/>
    <w:rsid w:val="3882287D"/>
    <w:rsid w:val="388303A3"/>
    <w:rsid w:val="38847E22"/>
    <w:rsid w:val="38881374"/>
    <w:rsid w:val="388859B9"/>
    <w:rsid w:val="388A1731"/>
    <w:rsid w:val="388C671A"/>
    <w:rsid w:val="388D4D7E"/>
    <w:rsid w:val="388F6D48"/>
    <w:rsid w:val="38912AC0"/>
    <w:rsid w:val="389160B5"/>
    <w:rsid w:val="389205E6"/>
    <w:rsid w:val="38944D46"/>
    <w:rsid w:val="38962237"/>
    <w:rsid w:val="389B393F"/>
    <w:rsid w:val="389B56ED"/>
    <w:rsid w:val="389D1465"/>
    <w:rsid w:val="389D610E"/>
    <w:rsid w:val="389E342F"/>
    <w:rsid w:val="38A05EBA"/>
    <w:rsid w:val="38A071A7"/>
    <w:rsid w:val="38A50319"/>
    <w:rsid w:val="38A6346D"/>
    <w:rsid w:val="38A6778B"/>
    <w:rsid w:val="38A722E3"/>
    <w:rsid w:val="38A8464C"/>
    <w:rsid w:val="38AA6EBD"/>
    <w:rsid w:val="38AD71CE"/>
    <w:rsid w:val="38AE2387"/>
    <w:rsid w:val="38AE3672"/>
    <w:rsid w:val="38B247E4"/>
    <w:rsid w:val="38B36EDA"/>
    <w:rsid w:val="38B4055C"/>
    <w:rsid w:val="38B44A00"/>
    <w:rsid w:val="38B7004D"/>
    <w:rsid w:val="38B93DC5"/>
    <w:rsid w:val="38BB18EB"/>
    <w:rsid w:val="38BB416C"/>
    <w:rsid w:val="38BB7B3D"/>
    <w:rsid w:val="38BD38B5"/>
    <w:rsid w:val="38BD7007"/>
    <w:rsid w:val="38C06F01"/>
    <w:rsid w:val="38C20ECB"/>
    <w:rsid w:val="38C22C79"/>
    <w:rsid w:val="38C2712E"/>
    <w:rsid w:val="38C31508"/>
    <w:rsid w:val="38C5230C"/>
    <w:rsid w:val="38C61C36"/>
    <w:rsid w:val="38C74734"/>
    <w:rsid w:val="38C84008"/>
    <w:rsid w:val="38C97B41"/>
    <w:rsid w:val="38CA7D80"/>
    <w:rsid w:val="38CC1D4A"/>
    <w:rsid w:val="38CF35E8"/>
    <w:rsid w:val="38D34E55"/>
    <w:rsid w:val="38D62BC9"/>
    <w:rsid w:val="38D64977"/>
    <w:rsid w:val="38D806EF"/>
    <w:rsid w:val="38DB2257"/>
    <w:rsid w:val="38DD4678"/>
    <w:rsid w:val="38DD5D05"/>
    <w:rsid w:val="38DD7AB3"/>
    <w:rsid w:val="38DE55D9"/>
    <w:rsid w:val="38DF7CCF"/>
    <w:rsid w:val="38E01351"/>
    <w:rsid w:val="38E0213B"/>
    <w:rsid w:val="38E2156D"/>
    <w:rsid w:val="38E350E4"/>
    <w:rsid w:val="38E452E6"/>
    <w:rsid w:val="38E5105E"/>
    <w:rsid w:val="38E52E0C"/>
    <w:rsid w:val="38E74176"/>
    <w:rsid w:val="38E928FC"/>
    <w:rsid w:val="38EC419A"/>
    <w:rsid w:val="38ED2D35"/>
    <w:rsid w:val="38ED3A6E"/>
    <w:rsid w:val="38ED7091"/>
    <w:rsid w:val="38EE1CC0"/>
    <w:rsid w:val="38F31085"/>
    <w:rsid w:val="38F372D7"/>
    <w:rsid w:val="38F45B4D"/>
    <w:rsid w:val="38F55F20"/>
    <w:rsid w:val="38F60B75"/>
    <w:rsid w:val="38F95903"/>
    <w:rsid w:val="38FB43DD"/>
    <w:rsid w:val="38FE7E8D"/>
    <w:rsid w:val="390028DD"/>
    <w:rsid w:val="390034D4"/>
    <w:rsid w:val="39047736"/>
    <w:rsid w:val="39072D1B"/>
    <w:rsid w:val="39072D82"/>
    <w:rsid w:val="3908412D"/>
    <w:rsid w:val="390908A8"/>
    <w:rsid w:val="390A4620"/>
    <w:rsid w:val="390A63CE"/>
    <w:rsid w:val="390C0398"/>
    <w:rsid w:val="390C0ED9"/>
    <w:rsid w:val="390C65EA"/>
    <w:rsid w:val="39104D22"/>
    <w:rsid w:val="39111E53"/>
    <w:rsid w:val="39113C01"/>
    <w:rsid w:val="39131727"/>
    <w:rsid w:val="39161217"/>
    <w:rsid w:val="39164B5C"/>
    <w:rsid w:val="39194C1E"/>
    <w:rsid w:val="391D4354"/>
    <w:rsid w:val="39203E44"/>
    <w:rsid w:val="39205BF2"/>
    <w:rsid w:val="39213EF7"/>
    <w:rsid w:val="392207EA"/>
    <w:rsid w:val="3922196A"/>
    <w:rsid w:val="392259E5"/>
    <w:rsid w:val="39227BBC"/>
    <w:rsid w:val="39257015"/>
    <w:rsid w:val="392576AC"/>
    <w:rsid w:val="392A2FD2"/>
    <w:rsid w:val="392E030F"/>
    <w:rsid w:val="392F4087"/>
    <w:rsid w:val="393755D6"/>
    <w:rsid w:val="39386A66"/>
    <w:rsid w:val="393B2A2C"/>
    <w:rsid w:val="393F42CA"/>
    <w:rsid w:val="393F47DD"/>
    <w:rsid w:val="39400042"/>
    <w:rsid w:val="39406294"/>
    <w:rsid w:val="3942200C"/>
    <w:rsid w:val="39433B79"/>
    <w:rsid w:val="39445D84"/>
    <w:rsid w:val="39447B32"/>
    <w:rsid w:val="394538AA"/>
    <w:rsid w:val="394D6F17"/>
    <w:rsid w:val="3951224F"/>
    <w:rsid w:val="39537D75"/>
    <w:rsid w:val="39553AED"/>
    <w:rsid w:val="395625B8"/>
    <w:rsid w:val="395835DE"/>
    <w:rsid w:val="3958538C"/>
    <w:rsid w:val="39586050"/>
    <w:rsid w:val="395A1104"/>
    <w:rsid w:val="395F496C"/>
    <w:rsid w:val="395F671A"/>
    <w:rsid w:val="396054F7"/>
    <w:rsid w:val="39616936"/>
    <w:rsid w:val="396226AE"/>
    <w:rsid w:val="3962620A"/>
    <w:rsid w:val="39627FB8"/>
    <w:rsid w:val="3963760F"/>
    <w:rsid w:val="39643D30"/>
    <w:rsid w:val="396445F3"/>
    <w:rsid w:val="39663F4D"/>
    <w:rsid w:val="39665CFB"/>
    <w:rsid w:val="39697599"/>
    <w:rsid w:val="396C5956"/>
    <w:rsid w:val="396C7089"/>
    <w:rsid w:val="39706B79"/>
    <w:rsid w:val="397119C0"/>
    <w:rsid w:val="39730417"/>
    <w:rsid w:val="39743AD8"/>
    <w:rsid w:val="39754190"/>
    <w:rsid w:val="39761CB6"/>
    <w:rsid w:val="39783EF9"/>
    <w:rsid w:val="397C544B"/>
    <w:rsid w:val="397C551E"/>
    <w:rsid w:val="39822409"/>
    <w:rsid w:val="398268AC"/>
    <w:rsid w:val="398443D3"/>
    <w:rsid w:val="39877989"/>
    <w:rsid w:val="39882115"/>
    <w:rsid w:val="398919E9"/>
    <w:rsid w:val="39897C3B"/>
    <w:rsid w:val="398C3287"/>
    <w:rsid w:val="398E34A3"/>
    <w:rsid w:val="398E6E86"/>
    <w:rsid w:val="3991089E"/>
    <w:rsid w:val="39913610"/>
    <w:rsid w:val="39924D42"/>
    <w:rsid w:val="3995038E"/>
    <w:rsid w:val="3995213C"/>
    <w:rsid w:val="39962E51"/>
    <w:rsid w:val="39974106"/>
    <w:rsid w:val="39986745"/>
    <w:rsid w:val="39987E7E"/>
    <w:rsid w:val="399A59A4"/>
    <w:rsid w:val="399C171C"/>
    <w:rsid w:val="399D36E6"/>
    <w:rsid w:val="399E27B0"/>
    <w:rsid w:val="39A16D33"/>
    <w:rsid w:val="39A22AAB"/>
    <w:rsid w:val="39A44A75"/>
    <w:rsid w:val="39A607ED"/>
    <w:rsid w:val="39A6259B"/>
    <w:rsid w:val="39A82234"/>
    <w:rsid w:val="39AA58F8"/>
    <w:rsid w:val="39AD0211"/>
    <w:rsid w:val="39AE31FE"/>
    <w:rsid w:val="39B06F76"/>
    <w:rsid w:val="39B32F0A"/>
    <w:rsid w:val="39B36A66"/>
    <w:rsid w:val="39B50A30"/>
    <w:rsid w:val="39B527DE"/>
    <w:rsid w:val="39B822CE"/>
    <w:rsid w:val="39BA7DF4"/>
    <w:rsid w:val="39BB687D"/>
    <w:rsid w:val="39BE5B37"/>
    <w:rsid w:val="39BF365D"/>
    <w:rsid w:val="39C173D5"/>
    <w:rsid w:val="39C20644"/>
    <w:rsid w:val="39C25737"/>
    <w:rsid w:val="39C649EB"/>
    <w:rsid w:val="39C66799"/>
    <w:rsid w:val="39C72511"/>
    <w:rsid w:val="39C742BF"/>
    <w:rsid w:val="39C80763"/>
    <w:rsid w:val="39C80E81"/>
    <w:rsid w:val="39CD7B28"/>
    <w:rsid w:val="39CE4CF3"/>
    <w:rsid w:val="39D0586A"/>
    <w:rsid w:val="39D07618"/>
    <w:rsid w:val="39D10AA3"/>
    <w:rsid w:val="39D4535A"/>
    <w:rsid w:val="39D47874"/>
    <w:rsid w:val="39D569DC"/>
    <w:rsid w:val="39D67A85"/>
    <w:rsid w:val="39D771DD"/>
    <w:rsid w:val="39D8471E"/>
    <w:rsid w:val="39D864CC"/>
    <w:rsid w:val="39D87235"/>
    <w:rsid w:val="39DF3CFF"/>
    <w:rsid w:val="39E11A28"/>
    <w:rsid w:val="39E135D3"/>
    <w:rsid w:val="39E41315"/>
    <w:rsid w:val="39E60BE9"/>
    <w:rsid w:val="39E66E3B"/>
    <w:rsid w:val="39E7174C"/>
    <w:rsid w:val="39E75002"/>
    <w:rsid w:val="39E80794"/>
    <w:rsid w:val="39E8242A"/>
    <w:rsid w:val="39E82BB3"/>
    <w:rsid w:val="39E92488"/>
    <w:rsid w:val="39ED1F78"/>
    <w:rsid w:val="39F054BC"/>
    <w:rsid w:val="39F350B4"/>
    <w:rsid w:val="39F3557E"/>
    <w:rsid w:val="39F5707E"/>
    <w:rsid w:val="39F71049"/>
    <w:rsid w:val="39F74BA5"/>
    <w:rsid w:val="39F8091D"/>
    <w:rsid w:val="39FC040D"/>
    <w:rsid w:val="39FC21BB"/>
    <w:rsid w:val="3A013C75"/>
    <w:rsid w:val="3A015A23"/>
    <w:rsid w:val="3A0177D1"/>
    <w:rsid w:val="3A0379ED"/>
    <w:rsid w:val="3A045513"/>
    <w:rsid w:val="3A053765"/>
    <w:rsid w:val="3A064DE8"/>
    <w:rsid w:val="3A076471"/>
    <w:rsid w:val="3A080B60"/>
    <w:rsid w:val="3A085004"/>
    <w:rsid w:val="3A086DB2"/>
    <w:rsid w:val="3A0977A4"/>
    <w:rsid w:val="3A0B4AF4"/>
    <w:rsid w:val="3A0D6176"/>
    <w:rsid w:val="3A0F6DD0"/>
    <w:rsid w:val="3A1439A9"/>
    <w:rsid w:val="3A144893"/>
    <w:rsid w:val="3A14701E"/>
    <w:rsid w:val="3A176FF5"/>
    <w:rsid w:val="3A1A0893"/>
    <w:rsid w:val="3A1C460B"/>
    <w:rsid w:val="3A2133F1"/>
    <w:rsid w:val="3A2160C5"/>
    <w:rsid w:val="3A241712"/>
    <w:rsid w:val="3A25583C"/>
    <w:rsid w:val="3A26548A"/>
    <w:rsid w:val="3A271832"/>
    <w:rsid w:val="3A281202"/>
    <w:rsid w:val="3A29564D"/>
    <w:rsid w:val="3A296D28"/>
    <w:rsid w:val="3A2B2AA0"/>
    <w:rsid w:val="3A2D43ED"/>
    <w:rsid w:val="3A2E002F"/>
    <w:rsid w:val="3A322081"/>
    <w:rsid w:val="3A325BDD"/>
    <w:rsid w:val="3A351B95"/>
    <w:rsid w:val="3A35391F"/>
    <w:rsid w:val="3A371445"/>
    <w:rsid w:val="3A39340F"/>
    <w:rsid w:val="3A3A0F35"/>
    <w:rsid w:val="3A3C4CAD"/>
    <w:rsid w:val="3A3E0A25"/>
    <w:rsid w:val="3A3F02FA"/>
    <w:rsid w:val="3A3F654C"/>
    <w:rsid w:val="3A414072"/>
    <w:rsid w:val="3A4678DA"/>
    <w:rsid w:val="3A494C37"/>
    <w:rsid w:val="3A4A561C"/>
    <w:rsid w:val="3A4B7556"/>
    <w:rsid w:val="3A4D0C68"/>
    <w:rsid w:val="3A4E0A72"/>
    <w:rsid w:val="3A4E0C27"/>
    <w:rsid w:val="3A4F49E1"/>
    <w:rsid w:val="3A4F5E72"/>
    <w:rsid w:val="3A4F75EF"/>
    <w:rsid w:val="3A500759"/>
    <w:rsid w:val="3A502507"/>
    <w:rsid w:val="3A513637"/>
    <w:rsid w:val="3A540249"/>
    <w:rsid w:val="3A541FF7"/>
    <w:rsid w:val="3A563FC1"/>
    <w:rsid w:val="3A573895"/>
    <w:rsid w:val="3A5D24A2"/>
    <w:rsid w:val="3A5D453C"/>
    <w:rsid w:val="3A5F274A"/>
    <w:rsid w:val="3A63048C"/>
    <w:rsid w:val="3A63223A"/>
    <w:rsid w:val="3A647D60"/>
    <w:rsid w:val="3A661D2A"/>
    <w:rsid w:val="3A66415E"/>
    <w:rsid w:val="3A683CF4"/>
    <w:rsid w:val="3A6A35C8"/>
    <w:rsid w:val="3A6B10EF"/>
    <w:rsid w:val="3A6D30B9"/>
    <w:rsid w:val="3A704957"/>
    <w:rsid w:val="3A742699"/>
    <w:rsid w:val="3A766411"/>
    <w:rsid w:val="3A79380C"/>
    <w:rsid w:val="3A797A03"/>
    <w:rsid w:val="3A7B3A28"/>
    <w:rsid w:val="3A7D77A0"/>
    <w:rsid w:val="3A7E52C6"/>
    <w:rsid w:val="3A802DEC"/>
    <w:rsid w:val="3A816B64"/>
    <w:rsid w:val="3A836438"/>
    <w:rsid w:val="3A852336"/>
    <w:rsid w:val="3A881CA1"/>
    <w:rsid w:val="3A886068"/>
    <w:rsid w:val="3A887EF3"/>
    <w:rsid w:val="3A8918CE"/>
    <w:rsid w:val="3A8B0C83"/>
    <w:rsid w:val="3A8B1791"/>
    <w:rsid w:val="3A8D375B"/>
    <w:rsid w:val="3A8F74D3"/>
    <w:rsid w:val="3A912C13"/>
    <w:rsid w:val="3A93317B"/>
    <w:rsid w:val="3A946897"/>
    <w:rsid w:val="3A95066C"/>
    <w:rsid w:val="3A960861"/>
    <w:rsid w:val="3A96260F"/>
    <w:rsid w:val="3A9643BE"/>
    <w:rsid w:val="3A992100"/>
    <w:rsid w:val="3A993EAE"/>
    <w:rsid w:val="3A9C574C"/>
    <w:rsid w:val="3A9E7716"/>
    <w:rsid w:val="3AA0348E"/>
    <w:rsid w:val="3AA0523C"/>
    <w:rsid w:val="3AA34D2C"/>
    <w:rsid w:val="3AA75652"/>
    <w:rsid w:val="3AA765CB"/>
    <w:rsid w:val="3AA80595"/>
    <w:rsid w:val="3AAA60BB"/>
    <w:rsid w:val="3AAB598F"/>
    <w:rsid w:val="3AAC3BE1"/>
    <w:rsid w:val="3AAD6784"/>
    <w:rsid w:val="3AAD68F3"/>
    <w:rsid w:val="3AB02FA5"/>
    <w:rsid w:val="3AB042CB"/>
    <w:rsid w:val="3AB16704"/>
    <w:rsid w:val="3AB17449"/>
    <w:rsid w:val="3AB27B94"/>
    <w:rsid w:val="3AB57C56"/>
    <w:rsid w:val="3AB605BC"/>
    <w:rsid w:val="3AB64A60"/>
    <w:rsid w:val="3AB74334"/>
    <w:rsid w:val="3ABA038B"/>
    <w:rsid w:val="3ABA2E2B"/>
    <w:rsid w:val="3AC04D69"/>
    <w:rsid w:val="3AC151B3"/>
    <w:rsid w:val="3AC23405"/>
    <w:rsid w:val="3AC234D7"/>
    <w:rsid w:val="3AC30B19"/>
    <w:rsid w:val="3AC32575"/>
    <w:rsid w:val="3AC52EF5"/>
    <w:rsid w:val="3AC54CA3"/>
    <w:rsid w:val="3AC76C6D"/>
    <w:rsid w:val="3AC773A0"/>
    <w:rsid w:val="3AC86541"/>
    <w:rsid w:val="3ACC4283"/>
    <w:rsid w:val="3ACC4E51"/>
    <w:rsid w:val="3ACE7FFB"/>
    <w:rsid w:val="3ACF167E"/>
    <w:rsid w:val="3ACF5B21"/>
    <w:rsid w:val="3AD13648"/>
    <w:rsid w:val="3AD273C0"/>
    <w:rsid w:val="3AD41A9E"/>
    <w:rsid w:val="3AD44EE6"/>
    <w:rsid w:val="3AD849D6"/>
    <w:rsid w:val="3AD9074E"/>
    <w:rsid w:val="3ADB0022"/>
    <w:rsid w:val="3ADB2718"/>
    <w:rsid w:val="3ADB6274"/>
    <w:rsid w:val="3ADC2CA1"/>
    <w:rsid w:val="3ADE5D64"/>
    <w:rsid w:val="3ADE7B13"/>
    <w:rsid w:val="3AE07DBB"/>
    <w:rsid w:val="3AE3337B"/>
    <w:rsid w:val="3AE55345"/>
    <w:rsid w:val="3AE555F4"/>
    <w:rsid w:val="3AE72E6B"/>
    <w:rsid w:val="3AE8273F"/>
    <w:rsid w:val="3AEA295B"/>
    <w:rsid w:val="3AEB1466"/>
    <w:rsid w:val="3AEC11B5"/>
    <w:rsid w:val="3AED2FDA"/>
    <w:rsid w:val="3AEF1D20"/>
    <w:rsid w:val="3AF02707"/>
    <w:rsid w:val="3AF17846"/>
    <w:rsid w:val="3AF235BE"/>
    <w:rsid w:val="3AF31FCA"/>
    <w:rsid w:val="3AF47336"/>
    <w:rsid w:val="3AF64E5C"/>
    <w:rsid w:val="3AF70BD4"/>
    <w:rsid w:val="3AFA0DF0"/>
    <w:rsid w:val="3AFB2473"/>
    <w:rsid w:val="3AFD61EB"/>
    <w:rsid w:val="3AFE01B5"/>
    <w:rsid w:val="3B005CDB"/>
    <w:rsid w:val="3B010619"/>
    <w:rsid w:val="3B051543"/>
    <w:rsid w:val="3B0532F1"/>
    <w:rsid w:val="3B07350D"/>
    <w:rsid w:val="3B077069"/>
    <w:rsid w:val="3B0774FE"/>
    <w:rsid w:val="3B082DE1"/>
    <w:rsid w:val="3B084B8F"/>
    <w:rsid w:val="3B086FE8"/>
    <w:rsid w:val="3B0A0908"/>
    <w:rsid w:val="3B0A473E"/>
    <w:rsid w:val="3B0C4680"/>
    <w:rsid w:val="3B0C6CD6"/>
    <w:rsid w:val="3B0D4800"/>
    <w:rsid w:val="3B0F23C2"/>
    <w:rsid w:val="3B0F5F1E"/>
    <w:rsid w:val="3B163750"/>
    <w:rsid w:val="3B1654FE"/>
    <w:rsid w:val="3B1672AC"/>
    <w:rsid w:val="3B181276"/>
    <w:rsid w:val="3B194FEF"/>
    <w:rsid w:val="3B196D9D"/>
    <w:rsid w:val="3B1B0D67"/>
    <w:rsid w:val="3B1B22A0"/>
    <w:rsid w:val="3B1B48C3"/>
    <w:rsid w:val="3B1D063B"/>
    <w:rsid w:val="3B20012B"/>
    <w:rsid w:val="3B2319C9"/>
    <w:rsid w:val="3B255741"/>
    <w:rsid w:val="3B263647"/>
    <w:rsid w:val="3B286FE0"/>
    <w:rsid w:val="3B293484"/>
    <w:rsid w:val="3B295232"/>
    <w:rsid w:val="3B2A0FAA"/>
    <w:rsid w:val="3B2C4D22"/>
    <w:rsid w:val="3B2F65C0"/>
    <w:rsid w:val="3B304812"/>
    <w:rsid w:val="3B3140E6"/>
    <w:rsid w:val="3B3224BA"/>
    <w:rsid w:val="3B331C0C"/>
    <w:rsid w:val="3B365BA1"/>
    <w:rsid w:val="3B36794F"/>
    <w:rsid w:val="3B381919"/>
    <w:rsid w:val="3B3836C7"/>
    <w:rsid w:val="3B3B4F65"/>
    <w:rsid w:val="3B3B6D13"/>
    <w:rsid w:val="3B3F4A55"/>
    <w:rsid w:val="3B420744"/>
    <w:rsid w:val="3B421FAF"/>
    <w:rsid w:val="3B424B80"/>
    <w:rsid w:val="3B4402BD"/>
    <w:rsid w:val="3B471B5C"/>
    <w:rsid w:val="3B47390A"/>
    <w:rsid w:val="3B4756B8"/>
    <w:rsid w:val="3B481C8A"/>
    <w:rsid w:val="3B4958D4"/>
    <w:rsid w:val="3B4B164C"/>
    <w:rsid w:val="3B516ED3"/>
    <w:rsid w:val="3B5322AF"/>
    <w:rsid w:val="3B5953EB"/>
    <w:rsid w:val="3B5A188F"/>
    <w:rsid w:val="3B5B29A2"/>
    <w:rsid w:val="3B5B73B5"/>
    <w:rsid w:val="3B5B7B12"/>
    <w:rsid w:val="3B5C6287"/>
    <w:rsid w:val="3B5D312D"/>
    <w:rsid w:val="3B5F0C53"/>
    <w:rsid w:val="3B5F50F7"/>
    <w:rsid w:val="3B651FE2"/>
    <w:rsid w:val="3B6A75F8"/>
    <w:rsid w:val="3B6B3A9C"/>
    <w:rsid w:val="3B6F4279"/>
    <w:rsid w:val="3B7010B2"/>
    <w:rsid w:val="3B714E2B"/>
    <w:rsid w:val="3B716BD9"/>
    <w:rsid w:val="3B73251E"/>
    <w:rsid w:val="3B7339AE"/>
    <w:rsid w:val="3B7346FF"/>
    <w:rsid w:val="3B765F9D"/>
    <w:rsid w:val="3B783AC3"/>
    <w:rsid w:val="3B7A1BBA"/>
    <w:rsid w:val="3B7B1805"/>
    <w:rsid w:val="3B7D732B"/>
    <w:rsid w:val="3B822B94"/>
    <w:rsid w:val="3B824942"/>
    <w:rsid w:val="3B827442"/>
    <w:rsid w:val="3B83709F"/>
    <w:rsid w:val="3B881808"/>
    <w:rsid w:val="3B8C3A12"/>
    <w:rsid w:val="3B8C57C0"/>
    <w:rsid w:val="3B8E1539"/>
    <w:rsid w:val="3B8E32E7"/>
    <w:rsid w:val="3B9315C8"/>
    <w:rsid w:val="3B974891"/>
    <w:rsid w:val="3B9A1C8B"/>
    <w:rsid w:val="3B9B1061"/>
    <w:rsid w:val="3B9B7FE9"/>
    <w:rsid w:val="3B9C3C56"/>
    <w:rsid w:val="3B9F54F4"/>
    <w:rsid w:val="3BA0301A"/>
    <w:rsid w:val="3BA40D5C"/>
    <w:rsid w:val="3BA42B0A"/>
    <w:rsid w:val="3BA725FA"/>
    <w:rsid w:val="3BA73665"/>
    <w:rsid w:val="3BA945C4"/>
    <w:rsid w:val="3BAC19BF"/>
    <w:rsid w:val="3BAC5E63"/>
    <w:rsid w:val="3BAC7BF6"/>
    <w:rsid w:val="3BAC7C11"/>
    <w:rsid w:val="3BAE3989"/>
    <w:rsid w:val="3BAF01E0"/>
    <w:rsid w:val="3BAF6FB8"/>
    <w:rsid w:val="3BB0325D"/>
    <w:rsid w:val="3BB07701"/>
    <w:rsid w:val="3BB16FD5"/>
    <w:rsid w:val="3BB80364"/>
    <w:rsid w:val="3BBA232E"/>
    <w:rsid w:val="3BBF3CCF"/>
    <w:rsid w:val="3BC13445"/>
    <w:rsid w:val="3BC136BC"/>
    <w:rsid w:val="3BC23194"/>
    <w:rsid w:val="3BC46D08"/>
    <w:rsid w:val="3BC76410"/>
    <w:rsid w:val="3BC96A15"/>
    <w:rsid w:val="3BCB70C7"/>
    <w:rsid w:val="3BCC3E0F"/>
    <w:rsid w:val="3BCC6E16"/>
    <w:rsid w:val="3BCE402B"/>
    <w:rsid w:val="3BD00368"/>
    <w:rsid w:val="3BD01B51"/>
    <w:rsid w:val="3BD11425"/>
    <w:rsid w:val="3BD12F39"/>
    <w:rsid w:val="3BD3519D"/>
    <w:rsid w:val="3BD479B6"/>
    <w:rsid w:val="3BD72EE0"/>
    <w:rsid w:val="3BD75B04"/>
    <w:rsid w:val="3BD80A06"/>
    <w:rsid w:val="3BDA477E"/>
    <w:rsid w:val="3BDC004C"/>
    <w:rsid w:val="3BDD426E"/>
    <w:rsid w:val="3BDF7FE6"/>
    <w:rsid w:val="3BE13D5E"/>
    <w:rsid w:val="3BE15B0C"/>
    <w:rsid w:val="3BE253E0"/>
    <w:rsid w:val="3BE7089C"/>
    <w:rsid w:val="3BE850ED"/>
    <w:rsid w:val="3BE9676F"/>
    <w:rsid w:val="3BE96CFB"/>
    <w:rsid w:val="3BEB0739"/>
    <w:rsid w:val="3BEB698B"/>
    <w:rsid w:val="3BEC625F"/>
    <w:rsid w:val="3BF03FA1"/>
    <w:rsid w:val="3BF07AFD"/>
    <w:rsid w:val="3BF27D19"/>
    <w:rsid w:val="3BF43905"/>
    <w:rsid w:val="3BF47C3C"/>
    <w:rsid w:val="3BF84C04"/>
    <w:rsid w:val="3BF860E4"/>
    <w:rsid w:val="3BF910A8"/>
    <w:rsid w:val="3BF97574"/>
    <w:rsid w:val="3BFA6BCE"/>
    <w:rsid w:val="3BFC46F4"/>
    <w:rsid w:val="3BFC64A2"/>
    <w:rsid w:val="3BFF41E4"/>
    <w:rsid w:val="3C005D06"/>
    <w:rsid w:val="3C017F5D"/>
    <w:rsid w:val="3C027831"/>
    <w:rsid w:val="3C0360E3"/>
    <w:rsid w:val="3C0435A9"/>
    <w:rsid w:val="3C047A4D"/>
    <w:rsid w:val="3C0637C5"/>
    <w:rsid w:val="3C065573"/>
    <w:rsid w:val="3C067321"/>
    <w:rsid w:val="3C08753D"/>
    <w:rsid w:val="3C096E11"/>
    <w:rsid w:val="3C0B2B89"/>
    <w:rsid w:val="3C0C42A9"/>
    <w:rsid w:val="3C112BD1"/>
    <w:rsid w:val="3C137C90"/>
    <w:rsid w:val="3C1732DC"/>
    <w:rsid w:val="3C173E22"/>
    <w:rsid w:val="3C187054"/>
    <w:rsid w:val="3C1A101E"/>
    <w:rsid w:val="3C1A2DCC"/>
    <w:rsid w:val="3C2105FF"/>
    <w:rsid w:val="3C237ED3"/>
    <w:rsid w:val="3C291261"/>
    <w:rsid w:val="3C29300F"/>
    <w:rsid w:val="3C2B322B"/>
    <w:rsid w:val="3C2D2B00"/>
    <w:rsid w:val="3C2D6FA3"/>
    <w:rsid w:val="3C2E0626"/>
    <w:rsid w:val="3C326368"/>
    <w:rsid w:val="3C357C06"/>
    <w:rsid w:val="3C3916B9"/>
    <w:rsid w:val="3C3A0A68"/>
    <w:rsid w:val="3C3A521C"/>
    <w:rsid w:val="3C3C71E7"/>
    <w:rsid w:val="3C3D5C18"/>
    <w:rsid w:val="3C3D6ABB"/>
    <w:rsid w:val="3C3F2833"/>
    <w:rsid w:val="3C4165AB"/>
    <w:rsid w:val="3C430575"/>
    <w:rsid w:val="3C44609B"/>
    <w:rsid w:val="3C461E13"/>
    <w:rsid w:val="3C4816E7"/>
    <w:rsid w:val="3C48192B"/>
    <w:rsid w:val="3C485B8B"/>
    <w:rsid w:val="3C4B19ED"/>
    <w:rsid w:val="3C4B567C"/>
    <w:rsid w:val="3C4E0CC8"/>
    <w:rsid w:val="3C4E2A76"/>
    <w:rsid w:val="3C510D46"/>
    <w:rsid w:val="3C552056"/>
    <w:rsid w:val="3C577B7C"/>
    <w:rsid w:val="3C580899"/>
    <w:rsid w:val="3C5A2C90"/>
    <w:rsid w:val="3C5A40AF"/>
    <w:rsid w:val="3C5A766D"/>
    <w:rsid w:val="3C5C5193"/>
    <w:rsid w:val="3C5E0698"/>
    <w:rsid w:val="3C5E0F0B"/>
    <w:rsid w:val="3C6329C5"/>
    <w:rsid w:val="3C634773"/>
    <w:rsid w:val="3C642299"/>
    <w:rsid w:val="3C666012"/>
    <w:rsid w:val="3C667DC0"/>
    <w:rsid w:val="3C687FDC"/>
    <w:rsid w:val="3C6978B0"/>
    <w:rsid w:val="3C6B7ACC"/>
    <w:rsid w:val="3C6E4EC6"/>
    <w:rsid w:val="3C6F136A"/>
    <w:rsid w:val="3C6F3118"/>
    <w:rsid w:val="3C6F5700"/>
    <w:rsid w:val="3C700C3E"/>
    <w:rsid w:val="3C7050E2"/>
    <w:rsid w:val="3C7324DC"/>
    <w:rsid w:val="3C7649A9"/>
    <w:rsid w:val="3C77021F"/>
    <w:rsid w:val="3C771FCD"/>
    <w:rsid w:val="3C797AF3"/>
    <w:rsid w:val="3C7A1ABD"/>
    <w:rsid w:val="3C7B75F2"/>
    <w:rsid w:val="3C7B7D0F"/>
    <w:rsid w:val="3C7C3A87"/>
    <w:rsid w:val="3C7C75E3"/>
    <w:rsid w:val="3C7F5E1B"/>
    <w:rsid w:val="3C812E4B"/>
    <w:rsid w:val="3C836BC3"/>
    <w:rsid w:val="3C8841DA"/>
    <w:rsid w:val="3C8A7F52"/>
    <w:rsid w:val="3C8B3CCA"/>
    <w:rsid w:val="3C8D17A0"/>
    <w:rsid w:val="3C8D359E"/>
    <w:rsid w:val="3C8E6785"/>
    <w:rsid w:val="3C8F37BA"/>
    <w:rsid w:val="3C9012E0"/>
    <w:rsid w:val="3C9138DB"/>
    <w:rsid w:val="3C926DF4"/>
    <w:rsid w:val="3C94492D"/>
    <w:rsid w:val="3C990195"/>
    <w:rsid w:val="3C9C5ED7"/>
    <w:rsid w:val="3C9E5ED0"/>
    <w:rsid w:val="3CA07775"/>
    <w:rsid w:val="3CA3164A"/>
    <w:rsid w:val="3CA408E8"/>
    <w:rsid w:val="3CA60B04"/>
    <w:rsid w:val="3CAA05F4"/>
    <w:rsid w:val="3CAA0A65"/>
    <w:rsid w:val="3CAA4150"/>
    <w:rsid w:val="3CAD1E92"/>
    <w:rsid w:val="3CAD59EE"/>
    <w:rsid w:val="3CB04B3A"/>
    <w:rsid w:val="3CB2496C"/>
    <w:rsid w:val="3CB274A9"/>
    <w:rsid w:val="3CB43221"/>
    <w:rsid w:val="3CB437A1"/>
    <w:rsid w:val="3CB55DDB"/>
    <w:rsid w:val="3CB7061B"/>
    <w:rsid w:val="3CB7686D"/>
    <w:rsid w:val="3CB94393"/>
    <w:rsid w:val="3CBC20D5"/>
    <w:rsid w:val="3CBD0327"/>
    <w:rsid w:val="3CBD19FA"/>
    <w:rsid w:val="3CBD713E"/>
    <w:rsid w:val="3CBE5B25"/>
    <w:rsid w:val="3CC50F8A"/>
    <w:rsid w:val="3CC52D38"/>
    <w:rsid w:val="3CC571DC"/>
    <w:rsid w:val="3CC64D02"/>
    <w:rsid w:val="3CC80A7A"/>
    <w:rsid w:val="3CCB40C7"/>
    <w:rsid w:val="3CCC056A"/>
    <w:rsid w:val="3CCC57A3"/>
    <w:rsid w:val="3CCD342E"/>
    <w:rsid w:val="3CCD7E3F"/>
    <w:rsid w:val="3CCF005B"/>
    <w:rsid w:val="3CCF1E09"/>
    <w:rsid w:val="3CD13DD3"/>
    <w:rsid w:val="3CD45671"/>
    <w:rsid w:val="3CD57E89"/>
    <w:rsid w:val="3CD64F45"/>
    <w:rsid w:val="3CD662DF"/>
    <w:rsid w:val="3CD70CBD"/>
    <w:rsid w:val="3CD92C87"/>
    <w:rsid w:val="3CD967E3"/>
    <w:rsid w:val="3CDB07AE"/>
    <w:rsid w:val="3CDD2778"/>
    <w:rsid w:val="3CDE029E"/>
    <w:rsid w:val="3CDE204C"/>
    <w:rsid w:val="3CDF7907"/>
    <w:rsid w:val="3CE024D8"/>
    <w:rsid w:val="3CE07B72"/>
    <w:rsid w:val="3CE138EA"/>
    <w:rsid w:val="3CE27D8E"/>
    <w:rsid w:val="3CE47EED"/>
    <w:rsid w:val="3CE5162C"/>
    <w:rsid w:val="3CE55188"/>
    <w:rsid w:val="3CE8111C"/>
    <w:rsid w:val="3CE81A7C"/>
    <w:rsid w:val="3CE82ECA"/>
    <w:rsid w:val="3CEA09F1"/>
    <w:rsid w:val="3CEC29BB"/>
    <w:rsid w:val="3CEF4259"/>
    <w:rsid w:val="3CEF73FC"/>
    <w:rsid w:val="3CF11D7F"/>
    <w:rsid w:val="3CF1711C"/>
    <w:rsid w:val="3CF25AF7"/>
    <w:rsid w:val="3CF278A5"/>
    <w:rsid w:val="3CF4361D"/>
    <w:rsid w:val="3CF5326E"/>
    <w:rsid w:val="3CF646FE"/>
    <w:rsid w:val="3CF967CC"/>
    <w:rsid w:val="3CFA56B4"/>
    <w:rsid w:val="3CFC24D2"/>
    <w:rsid w:val="3D001FC2"/>
    <w:rsid w:val="3D006466"/>
    <w:rsid w:val="3D025872"/>
    <w:rsid w:val="3D037D04"/>
    <w:rsid w:val="3D05582A"/>
    <w:rsid w:val="3D0715A3"/>
    <w:rsid w:val="3D0870C9"/>
    <w:rsid w:val="3D0A1093"/>
    <w:rsid w:val="3D0C6BB9"/>
    <w:rsid w:val="3D0E357A"/>
    <w:rsid w:val="3D0E5556"/>
    <w:rsid w:val="3D121CF5"/>
    <w:rsid w:val="3D141F11"/>
    <w:rsid w:val="3D145A6E"/>
    <w:rsid w:val="3D1617E6"/>
    <w:rsid w:val="3D163594"/>
    <w:rsid w:val="3D163AF2"/>
    <w:rsid w:val="3D176EBA"/>
    <w:rsid w:val="3D1D0DC6"/>
    <w:rsid w:val="3D22018A"/>
    <w:rsid w:val="3D232155"/>
    <w:rsid w:val="3D25174A"/>
    <w:rsid w:val="3D26209C"/>
    <w:rsid w:val="3D2739F3"/>
    <w:rsid w:val="3D290A1D"/>
    <w:rsid w:val="3D29776B"/>
    <w:rsid w:val="3D2C2DB7"/>
    <w:rsid w:val="3D2D67D5"/>
    <w:rsid w:val="3D2F28A7"/>
    <w:rsid w:val="3D2F4655"/>
    <w:rsid w:val="3D3103CE"/>
    <w:rsid w:val="3D3108F0"/>
    <w:rsid w:val="3D321D80"/>
    <w:rsid w:val="3D332764"/>
    <w:rsid w:val="3D340354"/>
    <w:rsid w:val="3D346110"/>
    <w:rsid w:val="3D3632D2"/>
    <w:rsid w:val="3D373021"/>
    <w:rsid w:val="3D3842E3"/>
    <w:rsid w:val="3D3A1978"/>
    <w:rsid w:val="3D3B749E"/>
    <w:rsid w:val="3D3D3216"/>
    <w:rsid w:val="3D3D4FC4"/>
    <w:rsid w:val="3D3E0322"/>
    <w:rsid w:val="3D404AB5"/>
    <w:rsid w:val="3D42082D"/>
    <w:rsid w:val="3D430688"/>
    <w:rsid w:val="3D4445A5"/>
    <w:rsid w:val="3D477BF1"/>
    <w:rsid w:val="3D4B4DAF"/>
    <w:rsid w:val="3D4C16AB"/>
    <w:rsid w:val="3D4C5207"/>
    <w:rsid w:val="3D4D399F"/>
    <w:rsid w:val="3D4E0F7F"/>
    <w:rsid w:val="3D4E71D1"/>
    <w:rsid w:val="3D504CB9"/>
    <w:rsid w:val="3D54230E"/>
    <w:rsid w:val="3D557CEA"/>
    <w:rsid w:val="3D5633FB"/>
    <w:rsid w:val="3D567E34"/>
    <w:rsid w:val="3D583BAC"/>
    <w:rsid w:val="3D591ABC"/>
    <w:rsid w:val="3D5B18EE"/>
    <w:rsid w:val="3D5E4F3B"/>
    <w:rsid w:val="3D5F13DF"/>
    <w:rsid w:val="3D5F318D"/>
    <w:rsid w:val="3D5F4763"/>
    <w:rsid w:val="3D5F6A55"/>
    <w:rsid w:val="3D606F05"/>
    <w:rsid w:val="3D610E5E"/>
    <w:rsid w:val="3D622C7D"/>
    <w:rsid w:val="3D632551"/>
    <w:rsid w:val="3D636C5F"/>
    <w:rsid w:val="3D64203D"/>
    <w:rsid w:val="3D65276D"/>
    <w:rsid w:val="3D6562C9"/>
    <w:rsid w:val="3D670293"/>
    <w:rsid w:val="3D672041"/>
    <w:rsid w:val="3D6764E5"/>
    <w:rsid w:val="3D686160"/>
    <w:rsid w:val="3D687578"/>
    <w:rsid w:val="3D695DB9"/>
    <w:rsid w:val="3D6A1B31"/>
    <w:rsid w:val="3D6C7658"/>
    <w:rsid w:val="3D734E8A"/>
    <w:rsid w:val="3D74475E"/>
    <w:rsid w:val="3D74650C"/>
    <w:rsid w:val="3D762284"/>
    <w:rsid w:val="3D7824A0"/>
    <w:rsid w:val="3D793B23"/>
    <w:rsid w:val="3D7B5AED"/>
    <w:rsid w:val="3D7E738B"/>
    <w:rsid w:val="3D7F382F"/>
    <w:rsid w:val="3D7F55DD"/>
    <w:rsid w:val="3D804EB1"/>
    <w:rsid w:val="3D8175A7"/>
    <w:rsid w:val="3D8250CD"/>
    <w:rsid w:val="3D8628AB"/>
    <w:rsid w:val="3D89645B"/>
    <w:rsid w:val="3D8C1249"/>
    <w:rsid w:val="3D8C1AA8"/>
    <w:rsid w:val="3D8E5820"/>
    <w:rsid w:val="3D8E75CE"/>
    <w:rsid w:val="3D8F1598"/>
    <w:rsid w:val="3D8F3346"/>
    <w:rsid w:val="3D9077EA"/>
    <w:rsid w:val="3D9170BE"/>
    <w:rsid w:val="3D922C7D"/>
    <w:rsid w:val="3D9236E4"/>
    <w:rsid w:val="3D9372DA"/>
    <w:rsid w:val="3D960B78"/>
    <w:rsid w:val="3D9A2417"/>
    <w:rsid w:val="3D9B7F3D"/>
    <w:rsid w:val="3D9F7A2D"/>
    <w:rsid w:val="3DA07301"/>
    <w:rsid w:val="3DA43295"/>
    <w:rsid w:val="3DA54918"/>
    <w:rsid w:val="3DA74B34"/>
    <w:rsid w:val="3DA9265A"/>
    <w:rsid w:val="3DAA0180"/>
    <w:rsid w:val="3DAB4624"/>
    <w:rsid w:val="3DAC3EF8"/>
    <w:rsid w:val="3DAE5EC2"/>
    <w:rsid w:val="3DB00644"/>
    <w:rsid w:val="3DB159B2"/>
    <w:rsid w:val="3DB17760"/>
    <w:rsid w:val="3DB334D8"/>
    <w:rsid w:val="3DB42DAD"/>
    <w:rsid w:val="3DB64D77"/>
    <w:rsid w:val="3DB66B25"/>
    <w:rsid w:val="3DB7434A"/>
    <w:rsid w:val="3DBA4867"/>
    <w:rsid w:val="3DBB413B"/>
    <w:rsid w:val="3DBD6105"/>
    <w:rsid w:val="3DBF00CF"/>
    <w:rsid w:val="3DC12D0A"/>
    <w:rsid w:val="3DC15BF5"/>
    <w:rsid w:val="3DC41242"/>
    <w:rsid w:val="3DC47494"/>
    <w:rsid w:val="3DC47569"/>
    <w:rsid w:val="3DC6320C"/>
    <w:rsid w:val="3DC63FAB"/>
    <w:rsid w:val="3DCD5080"/>
    <w:rsid w:val="3DCE3E6E"/>
    <w:rsid w:val="3DD05E38"/>
    <w:rsid w:val="3DD11BB1"/>
    <w:rsid w:val="3DD3114F"/>
    <w:rsid w:val="3DD35929"/>
    <w:rsid w:val="3DD376D7"/>
    <w:rsid w:val="3DD516A1"/>
    <w:rsid w:val="3DD5344F"/>
    <w:rsid w:val="3DD716B3"/>
    <w:rsid w:val="3DD84CED"/>
    <w:rsid w:val="3DDB658B"/>
    <w:rsid w:val="3DDC61D1"/>
    <w:rsid w:val="3DDF3C75"/>
    <w:rsid w:val="3DE11DF4"/>
    <w:rsid w:val="3DE23DBE"/>
    <w:rsid w:val="3DE37141"/>
    <w:rsid w:val="3DE418E4"/>
    <w:rsid w:val="3DE713D4"/>
    <w:rsid w:val="3DE9514C"/>
    <w:rsid w:val="3DEC5B5C"/>
    <w:rsid w:val="3DF00289"/>
    <w:rsid w:val="3DF02037"/>
    <w:rsid w:val="3DF067DF"/>
    <w:rsid w:val="3DF15A33"/>
    <w:rsid w:val="3DF15DAF"/>
    <w:rsid w:val="3DF47029"/>
    <w:rsid w:val="3DF504B9"/>
    <w:rsid w:val="3DF5589F"/>
    <w:rsid w:val="3DF71C39"/>
    <w:rsid w:val="3DFA1107"/>
    <w:rsid w:val="3DFB09DB"/>
    <w:rsid w:val="3DFC6C2D"/>
    <w:rsid w:val="3E015FF2"/>
    <w:rsid w:val="3E027FBC"/>
    <w:rsid w:val="3E047890"/>
    <w:rsid w:val="3E0538DA"/>
    <w:rsid w:val="3E09134A"/>
    <w:rsid w:val="3E0B50C2"/>
    <w:rsid w:val="3E0D0E3B"/>
    <w:rsid w:val="3E104487"/>
    <w:rsid w:val="3E1279E1"/>
    <w:rsid w:val="3E18333B"/>
    <w:rsid w:val="3E1A0D44"/>
    <w:rsid w:val="3E1A70B4"/>
    <w:rsid w:val="3E1C2E2C"/>
    <w:rsid w:val="3E1C72D0"/>
    <w:rsid w:val="3E1D07F4"/>
    <w:rsid w:val="3E1D4DF6"/>
    <w:rsid w:val="3E210442"/>
    <w:rsid w:val="3E2148E6"/>
    <w:rsid w:val="3E23065E"/>
    <w:rsid w:val="3E241CE0"/>
    <w:rsid w:val="3E285C74"/>
    <w:rsid w:val="3E295549"/>
    <w:rsid w:val="3E2B12C1"/>
    <w:rsid w:val="3E2E2B5F"/>
    <w:rsid w:val="3E300685"/>
    <w:rsid w:val="3E3068D7"/>
    <w:rsid w:val="3E30750E"/>
    <w:rsid w:val="3E330175"/>
    <w:rsid w:val="3E33045B"/>
    <w:rsid w:val="3E353EED"/>
    <w:rsid w:val="3E371A14"/>
    <w:rsid w:val="3E377C66"/>
    <w:rsid w:val="3E3839DE"/>
    <w:rsid w:val="3E3851D9"/>
    <w:rsid w:val="3E391222"/>
    <w:rsid w:val="3E39158D"/>
    <w:rsid w:val="3E392B8C"/>
    <w:rsid w:val="3E3A0EB7"/>
    <w:rsid w:val="3E3F2FBE"/>
    <w:rsid w:val="3E3F6B1A"/>
    <w:rsid w:val="3E412892"/>
    <w:rsid w:val="3E444130"/>
    <w:rsid w:val="3E452870"/>
    <w:rsid w:val="3E46434D"/>
    <w:rsid w:val="3E4660FB"/>
    <w:rsid w:val="3E4668D1"/>
    <w:rsid w:val="3E491747"/>
    <w:rsid w:val="3E495BEB"/>
    <w:rsid w:val="3E4C5F02"/>
    <w:rsid w:val="3E4E4FAF"/>
    <w:rsid w:val="3E4F5F4D"/>
    <w:rsid w:val="3E502AD5"/>
    <w:rsid w:val="3E504F7D"/>
    <w:rsid w:val="3E506F79"/>
    <w:rsid w:val="3E526909"/>
    <w:rsid w:val="3E530817"/>
    <w:rsid w:val="3E531BDD"/>
    <w:rsid w:val="3E5500EC"/>
    <w:rsid w:val="3E554590"/>
    <w:rsid w:val="3E55633E"/>
    <w:rsid w:val="3E564C85"/>
    <w:rsid w:val="3E566547"/>
    <w:rsid w:val="3E5932AF"/>
    <w:rsid w:val="3E5B4A96"/>
    <w:rsid w:val="3E5B4BB6"/>
    <w:rsid w:val="3E5C147A"/>
    <w:rsid w:val="3E5C591E"/>
    <w:rsid w:val="3E5E3444"/>
    <w:rsid w:val="3E5F71BC"/>
    <w:rsid w:val="3E611186"/>
    <w:rsid w:val="3E614CE2"/>
    <w:rsid w:val="3E6309CA"/>
    <w:rsid w:val="3E6622F9"/>
    <w:rsid w:val="3E682515"/>
    <w:rsid w:val="3E6B790F"/>
    <w:rsid w:val="3E6D3687"/>
    <w:rsid w:val="3E6D7B2B"/>
    <w:rsid w:val="3E6F38A3"/>
    <w:rsid w:val="3E6F5651"/>
    <w:rsid w:val="3E7013C9"/>
    <w:rsid w:val="3E704F26"/>
    <w:rsid w:val="3E706C67"/>
    <w:rsid w:val="3E725142"/>
    <w:rsid w:val="3E734A16"/>
    <w:rsid w:val="3E740EBA"/>
    <w:rsid w:val="3E74194F"/>
    <w:rsid w:val="3E75253C"/>
    <w:rsid w:val="3E7651DA"/>
    <w:rsid w:val="3E78202C"/>
    <w:rsid w:val="3E7964D0"/>
    <w:rsid w:val="3E7D7E30"/>
    <w:rsid w:val="3E7E5894"/>
    <w:rsid w:val="3E7E7642"/>
    <w:rsid w:val="3E802E0C"/>
    <w:rsid w:val="3E8400D2"/>
    <w:rsid w:val="3E864749"/>
    <w:rsid w:val="3E88226F"/>
    <w:rsid w:val="3E895FE7"/>
    <w:rsid w:val="3E8B7FB1"/>
    <w:rsid w:val="3E8D3D29"/>
    <w:rsid w:val="3E8F7AA2"/>
    <w:rsid w:val="3E907376"/>
    <w:rsid w:val="3E9230EE"/>
    <w:rsid w:val="3E927592"/>
    <w:rsid w:val="3E940B72"/>
    <w:rsid w:val="3E946368"/>
    <w:rsid w:val="3E95498C"/>
    <w:rsid w:val="3E976956"/>
    <w:rsid w:val="3E990920"/>
    <w:rsid w:val="3E99447C"/>
    <w:rsid w:val="3E9A6446"/>
    <w:rsid w:val="3E9C21BE"/>
    <w:rsid w:val="3E9F347B"/>
    <w:rsid w:val="3EA01CAF"/>
    <w:rsid w:val="3EA13331"/>
    <w:rsid w:val="3EA250D8"/>
    <w:rsid w:val="3EA3354D"/>
    <w:rsid w:val="3EA352FB"/>
    <w:rsid w:val="3EA42E21"/>
    <w:rsid w:val="3EA4718A"/>
    <w:rsid w:val="3EAA487D"/>
    <w:rsid w:val="3EAB1A1E"/>
    <w:rsid w:val="3EB017C6"/>
    <w:rsid w:val="3EB05C6A"/>
    <w:rsid w:val="3EB219E2"/>
    <w:rsid w:val="3EB2553E"/>
    <w:rsid w:val="3EB45031"/>
    <w:rsid w:val="3EB709F3"/>
    <w:rsid w:val="3EB72B54"/>
    <w:rsid w:val="3EBA43F3"/>
    <w:rsid w:val="3EC05384"/>
    <w:rsid w:val="3EC05EAD"/>
    <w:rsid w:val="3EC15781"/>
    <w:rsid w:val="3EC65D55"/>
    <w:rsid w:val="3EC6723B"/>
    <w:rsid w:val="3EC84510"/>
    <w:rsid w:val="3ECB4852"/>
    <w:rsid w:val="3ECC295E"/>
    <w:rsid w:val="3ECC2AA4"/>
    <w:rsid w:val="3ECE409C"/>
    <w:rsid w:val="3ED00105"/>
    <w:rsid w:val="3ED01E68"/>
    <w:rsid w:val="3ED43706"/>
    <w:rsid w:val="3ED454B4"/>
    <w:rsid w:val="3ED5611A"/>
    <w:rsid w:val="3ED656D0"/>
    <w:rsid w:val="3EDA0AFC"/>
    <w:rsid w:val="3EDA6843"/>
    <w:rsid w:val="3EDC080D"/>
    <w:rsid w:val="3EDC25BB"/>
    <w:rsid w:val="3EDF57C3"/>
    <w:rsid w:val="3EE020AB"/>
    <w:rsid w:val="3EE14075"/>
    <w:rsid w:val="3EE41BAE"/>
    <w:rsid w:val="3EE55913"/>
    <w:rsid w:val="3EE871B2"/>
    <w:rsid w:val="3EEA4CD8"/>
    <w:rsid w:val="3EED2A1A"/>
    <w:rsid w:val="3EEE3679"/>
    <w:rsid w:val="3EEF0402"/>
    <w:rsid w:val="3EEF1097"/>
    <w:rsid w:val="3EEF6792"/>
    <w:rsid w:val="3EF43DA9"/>
    <w:rsid w:val="3EF45B57"/>
    <w:rsid w:val="3EF508F9"/>
    <w:rsid w:val="3EF868E3"/>
    <w:rsid w:val="3EF94872"/>
    <w:rsid w:val="3EFB5137"/>
    <w:rsid w:val="3EFC4A0B"/>
    <w:rsid w:val="3EFE0783"/>
    <w:rsid w:val="3EFE4C27"/>
    <w:rsid w:val="3EFE69D5"/>
    <w:rsid w:val="3F00274D"/>
    <w:rsid w:val="3F010273"/>
    <w:rsid w:val="3F0120EC"/>
    <w:rsid w:val="3F03223E"/>
    <w:rsid w:val="3F035D9A"/>
    <w:rsid w:val="3F051B12"/>
    <w:rsid w:val="3F057D64"/>
    <w:rsid w:val="3F067638"/>
    <w:rsid w:val="3F081602"/>
    <w:rsid w:val="3F0833B0"/>
    <w:rsid w:val="3F0A35CC"/>
    <w:rsid w:val="3F0B4C4E"/>
    <w:rsid w:val="3F0D1EF3"/>
    <w:rsid w:val="3F0D6C18"/>
    <w:rsid w:val="3F1104B7"/>
    <w:rsid w:val="3F116709"/>
    <w:rsid w:val="3F12205B"/>
    <w:rsid w:val="3F141D55"/>
    <w:rsid w:val="3F143839"/>
    <w:rsid w:val="3F163D1F"/>
    <w:rsid w:val="3F180A9E"/>
    <w:rsid w:val="3F180FFC"/>
    <w:rsid w:val="3F19736B"/>
    <w:rsid w:val="3F1B1335"/>
    <w:rsid w:val="3F1C5CDE"/>
    <w:rsid w:val="3F1D1D3F"/>
    <w:rsid w:val="3F235AF6"/>
    <w:rsid w:val="3F23643C"/>
    <w:rsid w:val="3F2521B4"/>
    <w:rsid w:val="3F253F62"/>
    <w:rsid w:val="3F255D10"/>
    <w:rsid w:val="3F281CA4"/>
    <w:rsid w:val="3F2C52F0"/>
    <w:rsid w:val="3F310B59"/>
    <w:rsid w:val="3F3240FC"/>
    <w:rsid w:val="3F352108"/>
    <w:rsid w:val="3F375A43"/>
    <w:rsid w:val="3F395C5F"/>
    <w:rsid w:val="3F3D74FE"/>
    <w:rsid w:val="3F3E5024"/>
    <w:rsid w:val="3F402B4A"/>
    <w:rsid w:val="3F406FEE"/>
    <w:rsid w:val="3F407CAA"/>
    <w:rsid w:val="3F422D66"/>
    <w:rsid w:val="3F43088C"/>
    <w:rsid w:val="3F444EEA"/>
    <w:rsid w:val="3F457ABB"/>
    <w:rsid w:val="3F463CE0"/>
    <w:rsid w:val="3F47037C"/>
    <w:rsid w:val="3F47212A"/>
    <w:rsid w:val="3F473ED8"/>
    <w:rsid w:val="3F48386B"/>
    <w:rsid w:val="3F485EA2"/>
    <w:rsid w:val="3F4A1C1A"/>
    <w:rsid w:val="3F4B21EC"/>
    <w:rsid w:val="3F4D34B9"/>
    <w:rsid w:val="3F4F4175"/>
    <w:rsid w:val="3F5056EE"/>
    <w:rsid w:val="3F514D57"/>
    <w:rsid w:val="3F524B18"/>
    <w:rsid w:val="3F542A99"/>
    <w:rsid w:val="3F544847"/>
    <w:rsid w:val="3F577E93"/>
    <w:rsid w:val="3F584337"/>
    <w:rsid w:val="3F591E5E"/>
    <w:rsid w:val="3F5B3E28"/>
    <w:rsid w:val="3F5B5BD6"/>
    <w:rsid w:val="3F5C3171"/>
    <w:rsid w:val="3F5C54AA"/>
    <w:rsid w:val="3F5D36FC"/>
    <w:rsid w:val="3F5E1222"/>
    <w:rsid w:val="3F5E7474"/>
    <w:rsid w:val="3F6251B6"/>
    <w:rsid w:val="3F632CDC"/>
    <w:rsid w:val="3F650802"/>
    <w:rsid w:val="3F6525B0"/>
    <w:rsid w:val="3F670284"/>
    <w:rsid w:val="3F676329"/>
    <w:rsid w:val="3F695775"/>
    <w:rsid w:val="3F6A5E19"/>
    <w:rsid w:val="3F6C12E5"/>
    <w:rsid w:val="3F6F1681"/>
    <w:rsid w:val="3F7116EC"/>
    <w:rsid w:val="3F7153F9"/>
    <w:rsid w:val="3F71548E"/>
    <w:rsid w:val="3F740A45"/>
    <w:rsid w:val="3F760C61"/>
    <w:rsid w:val="3F7722E4"/>
    <w:rsid w:val="3F7A33EB"/>
    <w:rsid w:val="3F7A7E3B"/>
    <w:rsid w:val="3F7B0026"/>
    <w:rsid w:val="3F7C0CAD"/>
    <w:rsid w:val="3F7E3672"/>
    <w:rsid w:val="3F7F7B16"/>
    <w:rsid w:val="3F852C53"/>
    <w:rsid w:val="3F932735"/>
    <w:rsid w:val="3F9335C1"/>
    <w:rsid w:val="3F935B7E"/>
    <w:rsid w:val="3F9609BC"/>
    <w:rsid w:val="3F964E60"/>
    <w:rsid w:val="3F9C0604"/>
    <w:rsid w:val="3F9D018A"/>
    <w:rsid w:val="3F9D1D4A"/>
    <w:rsid w:val="3F9E5AC2"/>
    <w:rsid w:val="3F9F1F66"/>
    <w:rsid w:val="3F9F3D14"/>
    <w:rsid w:val="3FA01B56"/>
    <w:rsid w:val="3FA05CDE"/>
    <w:rsid w:val="3FA27F1B"/>
    <w:rsid w:val="3FA330D9"/>
    <w:rsid w:val="3FA52D38"/>
    <w:rsid w:val="3FA629CD"/>
    <w:rsid w:val="3FA7706D"/>
    <w:rsid w:val="3FAA090B"/>
    <w:rsid w:val="3FAC01DF"/>
    <w:rsid w:val="3FB05F21"/>
    <w:rsid w:val="3FB13A48"/>
    <w:rsid w:val="3FB26D04"/>
    <w:rsid w:val="3FB3156E"/>
    <w:rsid w:val="3FB47D1B"/>
    <w:rsid w:val="3FB66F35"/>
    <w:rsid w:val="3FBA265B"/>
    <w:rsid w:val="3FBD23EC"/>
    <w:rsid w:val="3FC03C8B"/>
    <w:rsid w:val="3FC27A03"/>
    <w:rsid w:val="3FC574F3"/>
    <w:rsid w:val="3FC76DC7"/>
    <w:rsid w:val="3FC840B3"/>
    <w:rsid w:val="3FC90AB1"/>
    <w:rsid w:val="3FC90D91"/>
    <w:rsid w:val="3FCA1921"/>
    <w:rsid w:val="3FCE45FA"/>
    <w:rsid w:val="3FCF3ECE"/>
    <w:rsid w:val="3FD118D8"/>
    <w:rsid w:val="3FD140EA"/>
    <w:rsid w:val="3FD339BE"/>
    <w:rsid w:val="3FDA11F0"/>
    <w:rsid w:val="3FE0432D"/>
    <w:rsid w:val="3FE536F1"/>
    <w:rsid w:val="3FE568D4"/>
    <w:rsid w:val="3FE71217"/>
    <w:rsid w:val="3FE931E1"/>
    <w:rsid w:val="3FEB6F5A"/>
    <w:rsid w:val="3FEC2CD2"/>
    <w:rsid w:val="3FEE6A4A"/>
    <w:rsid w:val="3FF12096"/>
    <w:rsid w:val="3FF2702B"/>
    <w:rsid w:val="3FF81676"/>
    <w:rsid w:val="3FF97B90"/>
    <w:rsid w:val="3FFC1C67"/>
    <w:rsid w:val="3FFE3A57"/>
    <w:rsid w:val="4000052B"/>
    <w:rsid w:val="40010EF3"/>
    <w:rsid w:val="4001677D"/>
    <w:rsid w:val="4004001B"/>
    <w:rsid w:val="40050660"/>
    <w:rsid w:val="40063420"/>
    <w:rsid w:val="40077B0C"/>
    <w:rsid w:val="400973E0"/>
    <w:rsid w:val="400C5122"/>
    <w:rsid w:val="400C6ED0"/>
    <w:rsid w:val="400E49F6"/>
    <w:rsid w:val="4010076E"/>
    <w:rsid w:val="40104C12"/>
    <w:rsid w:val="401069C0"/>
    <w:rsid w:val="40113FD0"/>
    <w:rsid w:val="4012098A"/>
    <w:rsid w:val="4013200C"/>
    <w:rsid w:val="401A15ED"/>
    <w:rsid w:val="401C75E6"/>
    <w:rsid w:val="401D732F"/>
    <w:rsid w:val="401F6C03"/>
    <w:rsid w:val="4023709F"/>
    <w:rsid w:val="4024246B"/>
    <w:rsid w:val="4024421A"/>
    <w:rsid w:val="402661E4"/>
    <w:rsid w:val="40271FFF"/>
    <w:rsid w:val="40273D0A"/>
    <w:rsid w:val="40297A82"/>
    <w:rsid w:val="402C30CE"/>
    <w:rsid w:val="402D7572"/>
    <w:rsid w:val="402E5098"/>
    <w:rsid w:val="40324B88"/>
    <w:rsid w:val="40326890"/>
    <w:rsid w:val="40330901"/>
    <w:rsid w:val="40363F4D"/>
    <w:rsid w:val="40371ECC"/>
    <w:rsid w:val="40385F17"/>
    <w:rsid w:val="403B2C2F"/>
    <w:rsid w:val="403C77B5"/>
    <w:rsid w:val="403F1053"/>
    <w:rsid w:val="40414DCB"/>
    <w:rsid w:val="40416B7A"/>
    <w:rsid w:val="40456D33"/>
    <w:rsid w:val="404B79F8"/>
    <w:rsid w:val="404C3770"/>
    <w:rsid w:val="404D0B83"/>
    <w:rsid w:val="404D1D57"/>
    <w:rsid w:val="40500482"/>
    <w:rsid w:val="405014B2"/>
    <w:rsid w:val="40503261"/>
    <w:rsid w:val="4050500F"/>
    <w:rsid w:val="40510BF2"/>
    <w:rsid w:val="40512B35"/>
    <w:rsid w:val="4053216B"/>
    <w:rsid w:val="40534AFF"/>
    <w:rsid w:val="405368AD"/>
    <w:rsid w:val="40541C2A"/>
    <w:rsid w:val="4054751A"/>
    <w:rsid w:val="40552625"/>
    <w:rsid w:val="40572841"/>
    <w:rsid w:val="405745EF"/>
    <w:rsid w:val="4057639D"/>
    <w:rsid w:val="40583EC3"/>
    <w:rsid w:val="40583F95"/>
    <w:rsid w:val="405A7C3B"/>
    <w:rsid w:val="405C1C05"/>
    <w:rsid w:val="40640ABA"/>
    <w:rsid w:val="40644F5E"/>
    <w:rsid w:val="40646B4E"/>
    <w:rsid w:val="40662A84"/>
    <w:rsid w:val="406665E0"/>
    <w:rsid w:val="40672358"/>
    <w:rsid w:val="406867FC"/>
    <w:rsid w:val="40692574"/>
    <w:rsid w:val="406B009A"/>
    <w:rsid w:val="406B713F"/>
    <w:rsid w:val="406C133E"/>
    <w:rsid w:val="406C796F"/>
    <w:rsid w:val="406D3E12"/>
    <w:rsid w:val="406E7B8B"/>
    <w:rsid w:val="40714F85"/>
    <w:rsid w:val="40721429"/>
    <w:rsid w:val="407231D7"/>
    <w:rsid w:val="40726ACA"/>
    <w:rsid w:val="40730CFD"/>
    <w:rsid w:val="40750F19"/>
    <w:rsid w:val="4077259B"/>
    <w:rsid w:val="40774C91"/>
    <w:rsid w:val="407A652F"/>
    <w:rsid w:val="407D392A"/>
    <w:rsid w:val="407E22C6"/>
    <w:rsid w:val="40810C47"/>
    <w:rsid w:val="40833636"/>
    <w:rsid w:val="408353E4"/>
    <w:rsid w:val="40844CB8"/>
    <w:rsid w:val="408847A8"/>
    <w:rsid w:val="408B24EB"/>
    <w:rsid w:val="408B4349"/>
    <w:rsid w:val="408D6263"/>
    <w:rsid w:val="408E5B37"/>
    <w:rsid w:val="4090365D"/>
    <w:rsid w:val="40923879"/>
    <w:rsid w:val="40925627"/>
    <w:rsid w:val="409444EC"/>
    <w:rsid w:val="4094568C"/>
    <w:rsid w:val="409470BD"/>
    <w:rsid w:val="409749EB"/>
    <w:rsid w:val="409A0980"/>
    <w:rsid w:val="409A272E"/>
    <w:rsid w:val="409C0254"/>
    <w:rsid w:val="409C46F8"/>
    <w:rsid w:val="409D5D7A"/>
    <w:rsid w:val="409D6CDF"/>
    <w:rsid w:val="409F5F96"/>
    <w:rsid w:val="409F7D44"/>
    <w:rsid w:val="40A13ABC"/>
    <w:rsid w:val="40A2305E"/>
    <w:rsid w:val="40A84E4B"/>
    <w:rsid w:val="40A86BF9"/>
    <w:rsid w:val="40A92971"/>
    <w:rsid w:val="40AB0497"/>
    <w:rsid w:val="40AD2461"/>
    <w:rsid w:val="40AD420F"/>
    <w:rsid w:val="40B25CC9"/>
    <w:rsid w:val="40B3559D"/>
    <w:rsid w:val="40B437EF"/>
    <w:rsid w:val="40B60FC7"/>
    <w:rsid w:val="40B7508E"/>
    <w:rsid w:val="40B82174"/>
    <w:rsid w:val="40B97058"/>
    <w:rsid w:val="40BC08F6"/>
    <w:rsid w:val="40BC26A4"/>
    <w:rsid w:val="40BC6B48"/>
    <w:rsid w:val="40BD4B88"/>
    <w:rsid w:val="40BE01CA"/>
    <w:rsid w:val="40BF3F42"/>
    <w:rsid w:val="40C357E1"/>
    <w:rsid w:val="40C63523"/>
    <w:rsid w:val="40C6593D"/>
    <w:rsid w:val="40C818EC"/>
    <w:rsid w:val="40C8729B"/>
    <w:rsid w:val="40C90989"/>
    <w:rsid w:val="40C9486C"/>
    <w:rsid w:val="40CB1D5D"/>
    <w:rsid w:val="40CB28E7"/>
    <w:rsid w:val="40CD48B1"/>
    <w:rsid w:val="40CE33C2"/>
    <w:rsid w:val="40D24A15"/>
    <w:rsid w:val="40D432D1"/>
    <w:rsid w:val="40D52E0F"/>
    <w:rsid w:val="40D774DE"/>
    <w:rsid w:val="40D82ED1"/>
    <w:rsid w:val="40DA0D7C"/>
    <w:rsid w:val="40DA6FCE"/>
    <w:rsid w:val="40DB488F"/>
    <w:rsid w:val="40DC68A2"/>
    <w:rsid w:val="40DE5602"/>
    <w:rsid w:val="40DF6392"/>
    <w:rsid w:val="40E02836"/>
    <w:rsid w:val="40E1035D"/>
    <w:rsid w:val="40E35E83"/>
    <w:rsid w:val="40E439A9"/>
    <w:rsid w:val="40E66965"/>
    <w:rsid w:val="40E92D0B"/>
    <w:rsid w:val="40ED0AAF"/>
    <w:rsid w:val="40ED6D01"/>
    <w:rsid w:val="40F005A0"/>
    <w:rsid w:val="40F167F2"/>
    <w:rsid w:val="40F41E3E"/>
    <w:rsid w:val="40F63E08"/>
    <w:rsid w:val="40F717C1"/>
    <w:rsid w:val="40F7192E"/>
    <w:rsid w:val="40FA31CC"/>
    <w:rsid w:val="40FC5196"/>
    <w:rsid w:val="40FD164C"/>
    <w:rsid w:val="410020DD"/>
    <w:rsid w:val="4101356D"/>
    <w:rsid w:val="41036525"/>
    <w:rsid w:val="41043DD1"/>
    <w:rsid w:val="4105404B"/>
    <w:rsid w:val="41055DF9"/>
    <w:rsid w:val="410A713D"/>
    <w:rsid w:val="410B71F0"/>
    <w:rsid w:val="410C362B"/>
    <w:rsid w:val="410D2F00"/>
    <w:rsid w:val="410F091D"/>
    <w:rsid w:val="411416BB"/>
    <w:rsid w:val="4114603C"/>
    <w:rsid w:val="41151DB4"/>
    <w:rsid w:val="41166258"/>
    <w:rsid w:val="41173D7E"/>
    <w:rsid w:val="41175B2C"/>
    <w:rsid w:val="41195D48"/>
    <w:rsid w:val="41197AF6"/>
    <w:rsid w:val="411B561D"/>
    <w:rsid w:val="411C75E7"/>
    <w:rsid w:val="411E510D"/>
    <w:rsid w:val="411E5666"/>
    <w:rsid w:val="41230975"/>
    <w:rsid w:val="41272213"/>
    <w:rsid w:val="41281AE7"/>
    <w:rsid w:val="41281B87"/>
    <w:rsid w:val="41287D39"/>
    <w:rsid w:val="412A5860"/>
    <w:rsid w:val="412B15D8"/>
    <w:rsid w:val="412C782A"/>
    <w:rsid w:val="412F1132"/>
    <w:rsid w:val="41326E0A"/>
    <w:rsid w:val="4134048C"/>
    <w:rsid w:val="41341F6F"/>
    <w:rsid w:val="4135614B"/>
    <w:rsid w:val="41390199"/>
    <w:rsid w:val="4139769D"/>
    <w:rsid w:val="413B5CBF"/>
    <w:rsid w:val="413C419C"/>
    <w:rsid w:val="413D1A37"/>
    <w:rsid w:val="413E755D"/>
    <w:rsid w:val="413F7118"/>
    <w:rsid w:val="413F7AA0"/>
    <w:rsid w:val="41432DC5"/>
    <w:rsid w:val="41445A88"/>
    <w:rsid w:val="414601C0"/>
    <w:rsid w:val="414845C1"/>
    <w:rsid w:val="414B6979"/>
    <w:rsid w:val="414D77A0"/>
    <w:rsid w:val="414F3518"/>
    <w:rsid w:val="414F52C6"/>
    <w:rsid w:val="4151103E"/>
    <w:rsid w:val="41516138"/>
    <w:rsid w:val="41523008"/>
    <w:rsid w:val="41526B64"/>
    <w:rsid w:val="4153125A"/>
    <w:rsid w:val="41561796"/>
    <w:rsid w:val="415648A7"/>
    <w:rsid w:val="41596145"/>
    <w:rsid w:val="415A4AB8"/>
    <w:rsid w:val="415B010F"/>
    <w:rsid w:val="415B1EBD"/>
    <w:rsid w:val="415E375B"/>
    <w:rsid w:val="41605725"/>
    <w:rsid w:val="41635215"/>
    <w:rsid w:val="41670862"/>
    <w:rsid w:val="41676AB4"/>
    <w:rsid w:val="416D399E"/>
    <w:rsid w:val="41703F20"/>
    <w:rsid w:val="417116E0"/>
    <w:rsid w:val="41735459"/>
    <w:rsid w:val="41742F7F"/>
    <w:rsid w:val="41764F49"/>
    <w:rsid w:val="4177522C"/>
    <w:rsid w:val="417836A0"/>
    <w:rsid w:val="417967E7"/>
    <w:rsid w:val="417C1E33"/>
    <w:rsid w:val="417D58F7"/>
    <w:rsid w:val="417F7DC0"/>
    <w:rsid w:val="4182569C"/>
    <w:rsid w:val="41841E0A"/>
    <w:rsid w:val="41874A60"/>
    <w:rsid w:val="41894C7C"/>
    <w:rsid w:val="418A27A2"/>
    <w:rsid w:val="418A4550"/>
    <w:rsid w:val="418C02C8"/>
    <w:rsid w:val="418C1912"/>
    <w:rsid w:val="418D5DEE"/>
    <w:rsid w:val="419158DF"/>
    <w:rsid w:val="4191768D"/>
    <w:rsid w:val="41931657"/>
    <w:rsid w:val="419379BA"/>
    <w:rsid w:val="4194717D"/>
    <w:rsid w:val="41950E9A"/>
    <w:rsid w:val="41961147"/>
    <w:rsid w:val="41967399"/>
    <w:rsid w:val="41970A1B"/>
    <w:rsid w:val="419929E5"/>
    <w:rsid w:val="41994793"/>
    <w:rsid w:val="419B49AF"/>
    <w:rsid w:val="419B675D"/>
    <w:rsid w:val="419C7D39"/>
    <w:rsid w:val="41A24CB0"/>
    <w:rsid w:val="41A25D3E"/>
    <w:rsid w:val="41A30B1A"/>
    <w:rsid w:val="41A53138"/>
    <w:rsid w:val="41A57A6F"/>
    <w:rsid w:val="41A73354"/>
    <w:rsid w:val="41AA074E"/>
    <w:rsid w:val="41AC2719"/>
    <w:rsid w:val="41AD023F"/>
    <w:rsid w:val="41AE6491"/>
    <w:rsid w:val="41AF3FB7"/>
    <w:rsid w:val="41B15F81"/>
    <w:rsid w:val="41B17D2F"/>
    <w:rsid w:val="41B25855"/>
    <w:rsid w:val="41B31CF9"/>
    <w:rsid w:val="41B415CD"/>
    <w:rsid w:val="41B45A71"/>
    <w:rsid w:val="41B63597"/>
    <w:rsid w:val="41B65345"/>
    <w:rsid w:val="41B82E6B"/>
    <w:rsid w:val="41B8730F"/>
    <w:rsid w:val="41B94E35"/>
    <w:rsid w:val="41B96BE3"/>
    <w:rsid w:val="41BA3087"/>
    <w:rsid w:val="41BB295C"/>
    <w:rsid w:val="41BD2B78"/>
    <w:rsid w:val="41C23CEA"/>
    <w:rsid w:val="41C31810"/>
    <w:rsid w:val="41C35A10"/>
    <w:rsid w:val="41C45CB4"/>
    <w:rsid w:val="41C537DA"/>
    <w:rsid w:val="41C55588"/>
    <w:rsid w:val="41C77552"/>
    <w:rsid w:val="41C9151C"/>
    <w:rsid w:val="41C932CA"/>
    <w:rsid w:val="41CA2B9F"/>
    <w:rsid w:val="41CA7043"/>
    <w:rsid w:val="41CC4B69"/>
    <w:rsid w:val="41CD4447"/>
    <w:rsid w:val="41CE268F"/>
    <w:rsid w:val="41CF1EAC"/>
    <w:rsid w:val="41D028AB"/>
    <w:rsid w:val="41D37CA5"/>
    <w:rsid w:val="41D43A1D"/>
    <w:rsid w:val="41D8350E"/>
    <w:rsid w:val="41DA2351"/>
    <w:rsid w:val="41DA59C1"/>
    <w:rsid w:val="41DB4DAC"/>
    <w:rsid w:val="41DC67EC"/>
    <w:rsid w:val="41DD0EE2"/>
    <w:rsid w:val="41E06866"/>
    <w:rsid w:val="41E225DE"/>
    <w:rsid w:val="41E2613A"/>
    <w:rsid w:val="41E41EB2"/>
    <w:rsid w:val="41E45CBD"/>
    <w:rsid w:val="41E77BF5"/>
    <w:rsid w:val="41EA3241"/>
    <w:rsid w:val="41EC6E66"/>
    <w:rsid w:val="41F23423"/>
    <w:rsid w:val="41F67E38"/>
    <w:rsid w:val="41FA7928"/>
    <w:rsid w:val="41FD2F74"/>
    <w:rsid w:val="41FE425C"/>
    <w:rsid w:val="41FF6CEC"/>
    <w:rsid w:val="42010CB6"/>
    <w:rsid w:val="42022339"/>
    <w:rsid w:val="42071BEA"/>
    <w:rsid w:val="42073DF3"/>
    <w:rsid w:val="42075BA1"/>
    <w:rsid w:val="420B38E3"/>
    <w:rsid w:val="420C31B7"/>
    <w:rsid w:val="420D3C52"/>
    <w:rsid w:val="420E33D3"/>
    <w:rsid w:val="42100EF9"/>
    <w:rsid w:val="42112A00"/>
    <w:rsid w:val="42114C71"/>
    <w:rsid w:val="42127BC2"/>
    <w:rsid w:val="42132798"/>
    <w:rsid w:val="42134546"/>
    <w:rsid w:val="42162288"/>
    <w:rsid w:val="42164036"/>
    <w:rsid w:val="42176DFB"/>
    <w:rsid w:val="421A1D78"/>
    <w:rsid w:val="421A58D4"/>
    <w:rsid w:val="421C01E8"/>
    <w:rsid w:val="421D3616"/>
    <w:rsid w:val="421F113C"/>
    <w:rsid w:val="421F2EEA"/>
    <w:rsid w:val="421F738E"/>
    <w:rsid w:val="42204EB5"/>
    <w:rsid w:val="42216661"/>
    <w:rsid w:val="422229DB"/>
    <w:rsid w:val="42224789"/>
    <w:rsid w:val="42230F81"/>
    <w:rsid w:val="42242413"/>
    <w:rsid w:val="422624CB"/>
    <w:rsid w:val="42293D69"/>
    <w:rsid w:val="422C3859"/>
    <w:rsid w:val="422C5607"/>
    <w:rsid w:val="422C6789"/>
    <w:rsid w:val="422E137F"/>
    <w:rsid w:val="423050F8"/>
    <w:rsid w:val="42312C1E"/>
    <w:rsid w:val="42350960"/>
    <w:rsid w:val="42366486"/>
    <w:rsid w:val="423821FE"/>
    <w:rsid w:val="423B7208"/>
    <w:rsid w:val="423C4368"/>
    <w:rsid w:val="423D1B28"/>
    <w:rsid w:val="423D5A66"/>
    <w:rsid w:val="423F17DF"/>
    <w:rsid w:val="42402E61"/>
    <w:rsid w:val="42415557"/>
    <w:rsid w:val="42424E2B"/>
    <w:rsid w:val="42446DF5"/>
    <w:rsid w:val="42452E8B"/>
    <w:rsid w:val="424566C9"/>
    <w:rsid w:val="42462172"/>
    <w:rsid w:val="4246491B"/>
    <w:rsid w:val="42497F67"/>
    <w:rsid w:val="424A47ED"/>
    <w:rsid w:val="424B1A5D"/>
    <w:rsid w:val="424D3EFC"/>
    <w:rsid w:val="424E557E"/>
    <w:rsid w:val="425012F6"/>
    <w:rsid w:val="425132C0"/>
    <w:rsid w:val="42521512"/>
    <w:rsid w:val="4252375D"/>
    <w:rsid w:val="425270EF"/>
    <w:rsid w:val="42552DB0"/>
    <w:rsid w:val="4258464E"/>
    <w:rsid w:val="425A03C6"/>
    <w:rsid w:val="425A2175"/>
    <w:rsid w:val="425A3F23"/>
    <w:rsid w:val="425D0D05"/>
    <w:rsid w:val="425D1C65"/>
    <w:rsid w:val="425E2DCE"/>
    <w:rsid w:val="425E3E67"/>
    <w:rsid w:val="425F59DD"/>
    <w:rsid w:val="4262727B"/>
    <w:rsid w:val="42642FF3"/>
    <w:rsid w:val="42660B19"/>
    <w:rsid w:val="4269060A"/>
    <w:rsid w:val="426A3716"/>
    <w:rsid w:val="426B6130"/>
    <w:rsid w:val="426D00FA"/>
    <w:rsid w:val="426E79CE"/>
    <w:rsid w:val="42705E47"/>
    <w:rsid w:val="42721A93"/>
    <w:rsid w:val="42733236"/>
    <w:rsid w:val="42755200"/>
    <w:rsid w:val="4276494E"/>
    <w:rsid w:val="42770F78"/>
    <w:rsid w:val="42772D26"/>
    <w:rsid w:val="4278084D"/>
    <w:rsid w:val="42784CF1"/>
    <w:rsid w:val="427C033D"/>
    <w:rsid w:val="427C77E8"/>
    <w:rsid w:val="427D5E63"/>
    <w:rsid w:val="427E2307"/>
    <w:rsid w:val="42802FA7"/>
    <w:rsid w:val="42815953"/>
    <w:rsid w:val="42823479"/>
    <w:rsid w:val="42827E3F"/>
    <w:rsid w:val="42845443"/>
    <w:rsid w:val="428617AE"/>
    <w:rsid w:val="42884F34"/>
    <w:rsid w:val="42892A5A"/>
    <w:rsid w:val="428A675F"/>
    <w:rsid w:val="428C42F8"/>
    <w:rsid w:val="4290203A"/>
    <w:rsid w:val="42903DE8"/>
    <w:rsid w:val="42920CC3"/>
    <w:rsid w:val="42937435"/>
    <w:rsid w:val="42976F25"/>
    <w:rsid w:val="429B2544"/>
    <w:rsid w:val="429D02B3"/>
    <w:rsid w:val="429D6505"/>
    <w:rsid w:val="429E4757"/>
    <w:rsid w:val="429E6428"/>
    <w:rsid w:val="429F227D"/>
    <w:rsid w:val="429F402B"/>
    <w:rsid w:val="42A00A06"/>
    <w:rsid w:val="42A41642"/>
    <w:rsid w:val="42A47894"/>
    <w:rsid w:val="42A87384"/>
    <w:rsid w:val="42A930FC"/>
    <w:rsid w:val="42A94EAA"/>
    <w:rsid w:val="42AE59C8"/>
    <w:rsid w:val="42B0448A"/>
    <w:rsid w:val="42B20202"/>
    <w:rsid w:val="42B21ABA"/>
    <w:rsid w:val="42B37AD7"/>
    <w:rsid w:val="42B41EBB"/>
    <w:rsid w:val="42B51AA1"/>
    <w:rsid w:val="42B52A5A"/>
    <w:rsid w:val="42B6714C"/>
    <w:rsid w:val="42B71375"/>
    <w:rsid w:val="42B81A6C"/>
    <w:rsid w:val="42B86E9B"/>
    <w:rsid w:val="42BB66F9"/>
    <w:rsid w:val="42BC2E2F"/>
    <w:rsid w:val="42BC698B"/>
    <w:rsid w:val="42BE1986"/>
    <w:rsid w:val="42BE6BA7"/>
    <w:rsid w:val="42BF6D6E"/>
    <w:rsid w:val="42C817D4"/>
    <w:rsid w:val="42CB4E20"/>
    <w:rsid w:val="42CD2946"/>
    <w:rsid w:val="42CE1385"/>
    <w:rsid w:val="42D24401"/>
    <w:rsid w:val="42D53EF1"/>
    <w:rsid w:val="42D75573"/>
    <w:rsid w:val="42D77C69"/>
    <w:rsid w:val="42DA1507"/>
    <w:rsid w:val="42DC77DF"/>
    <w:rsid w:val="42DE0FF8"/>
    <w:rsid w:val="42DF6B1E"/>
    <w:rsid w:val="42E12896"/>
    <w:rsid w:val="42E3216A"/>
    <w:rsid w:val="42E46282"/>
    <w:rsid w:val="42E61C5A"/>
    <w:rsid w:val="42E87780"/>
    <w:rsid w:val="42EA174A"/>
    <w:rsid w:val="42ED4D97"/>
    <w:rsid w:val="42F02AD9"/>
    <w:rsid w:val="42F0679A"/>
    <w:rsid w:val="42F425C9"/>
    <w:rsid w:val="42F500EF"/>
    <w:rsid w:val="42F63408"/>
    <w:rsid w:val="42F97BDF"/>
    <w:rsid w:val="42FA336E"/>
    <w:rsid w:val="42FA74B4"/>
    <w:rsid w:val="42FC76D0"/>
    <w:rsid w:val="42FE0D52"/>
    <w:rsid w:val="42FE546C"/>
    <w:rsid w:val="42FE6FA4"/>
    <w:rsid w:val="43010842"/>
    <w:rsid w:val="43051503"/>
    <w:rsid w:val="43087E22"/>
    <w:rsid w:val="43090E53"/>
    <w:rsid w:val="43095949"/>
    <w:rsid w:val="430B346F"/>
    <w:rsid w:val="430D368B"/>
    <w:rsid w:val="430D5439"/>
    <w:rsid w:val="430F7403"/>
    <w:rsid w:val="43100A85"/>
    <w:rsid w:val="43122A4F"/>
    <w:rsid w:val="4315253F"/>
    <w:rsid w:val="43161831"/>
    <w:rsid w:val="43162488"/>
    <w:rsid w:val="43171E14"/>
    <w:rsid w:val="43193DDE"/>
    <w:rsid w:val="431A7B56"/>
    <w:rsid w:val="43210932"/>
    <w:rsid w:val="43210EE4"/>
    <w:rsid w:val="43217136"/>
    <w:rsid w:val="4324765C"/>
    <w:rsid w:val="432602A9"/>
    <w:rsid w:val="43284021"/>
    <w:rsid w:val="4328489C"/>
    <w:rsid w:val="432B1D63"/>
    <w:rsid w:val="432B321D"/>
    <w:rsid w:val="43340C18"/>
    <w:rsid w:val="433429C6"/>
    <w:rsid w:val="43361A71"/>
    <w:rsid w:val="43364990"/>
    <w:rsid w:val="43374CD4"/>
    <w:rsid w:val="433F4264"/>
    <w:rsid w:val="434150E2"/>
    <w:rsid w:val="43430E5B"/>
    <w:rsid w:val="434370AD"/>
    <w:rsid w:val="43470AA6"/>
    <w:rsid w:val="4348021F"/>
    <w:rsid w:val="43486FC5"/>
    <w:rsid w:val="43496A2C"/>
    <w:rsid w:val="434A043B"/>
    <w:rsid w:val="434F77FF"/>
    <w:rsid w:val="43503578"/>
    <w:rsid w:val="43507197"/>
    <w:rsid w:val="435412BA"/>
    <w:rsid w:val="43543068"/>
    <w:rsid w:val="4355293C"/>
    <w:rsid w:val="43560B8E"/>
    <w:rsid w:val="43562D62"/>
    <w:rsid w:val="43566DE0"/>
    <w:rsid w:val="435B2648"/>
    <w:rsid w:val="435E5C94"/>
    <w:rsid w:val="436239D7"/>
    <w:rsid w:val="43635059"/>
    <w:rsid w:val="43650DD1"/>
    <w:rsid w:val="43657023"/>
    <w:rsid w:val="436C08D2"/>
    <w:rsid w:val="436F39FE"/>
    <w:rsid w:val="437159C8"/>
    <w:rsid w:val="437244EB"/>
    <w:rsid w:val="43741014"/>
    <w:rsid w:val="43747266"/>
    <w:rsid w:val="43770B04"/>
    <w:rsid w:val="43784FA8"/>
    <w:rsid w:val="437943F5"/>
    <w:rsid w:val="4379541D"/>
    <w:rsid w:val="43803E5D"/>
    <w:rsid w:val="43825A8E"/>
    <w:rsid w:val="4383394D"/>
    <w:rsid w:val="43856765"/>
    <w:rsid w:val="438576C5"/>
    <w:rsid w:val="43866F99"/>
    <w:rsid w:val="43884ABF"/>
    <w:rsid w:val="438F40A0"/>
    <w:rsid w:val="43917E18"/>
    <w:rsid w:val="439416B6"/>
    <w:rsid w:val="43943464"/>
    <w:rsid w:val="43963680"/>
    <w:rsid w:val="439711A6"/>
    <w:rsid w:val="439873F8"/>
    <w:rsid w:val="43993170"/>
    <w:rsid w:val="43996CCD"/>
    <w:rsid w:val="439C056B"/>
    <w:rsid w:val="439E42E3"/>
    <w:rsid w:val="43A044FF"/>
    <w:rsid w:val="43A062AD"/>
    <w:rsid w:val="43A15B81"/>
    <w:rsid w:val="43A23DD3"/>
    <w:rsid w:val="43A51B15"/>
    <w:rsid w:val="43A55671"/>
    <w:rsid w:val="43A63197"/>
    <w:rsid w:val="43A720C9"/>
    <w:rsid w:val="43AA0EDA"/>
    <w:rsid w:val="43AC2EA4"/>
    <w:rsid w:val="43AD2778"/>
    <w:rsid w:val="43AF029E"/>
    <w:rsid w:val="43AF4742"/>
    <w:rsid w:val="43B03BDD"/>
    <w:rsid w:val="43B104BA"/>
    <w:rsid w:val="43B43B06"/>
    <w:rsid w:val="43BB30E7"/>
    <w:rsid w:val="43BC29BB"/>
    <w:rsid w:val="43BE6733"/>
    <w:rsid w:val="43C05449"/>
    <w:rsid w:val="43C24475"/>
    <w:rsid w:val="43C31F9B"/>
    <w:rsid w:val="43C33D49"/>
    <w:rsid w:val="43C401ED"/>
    <w:rsid w:val="43C53F70"/>
    <w:rsid w:val="43C55D14"/>
    <w:rsid w:val="43C57AC2"/>
    <w:rsid w:val="43C71A8C"/>
    <w:rsid w:val="43C7383A"/>
    <w:rsid w:val="43CA157C"/>
    <w:rsid w:val="43CD4BC8"/>
    <w:rsid w:val="43D20331"/>
    <w:rsid w:val="43D23F8D"/>
    <w:rsid w:val="43D30430"/>
    <w:rsid w:val="43D359D6"/>
    <w:rsid w:val="43D51D8C"/>
    <w:rsid w:val="43D53D21"/>
    <w:rsid w:val="43D62240"/>
    <w:rsid w:val="43D877F5"/>
    <w:rsid w:val="43D9356D"/>
    <w:rsid w:val="43DE0B83"/>
    <w:rsid w:val="43DE42AE"/>
    <w:rsid w:val="43E02B4D"/>
    <w:rsid w:val="43E048FB"/>
    <w:rsid w:val="43E22422"/>
    <w:rsid w:val="43E3619A"/>
    <w:rsid w:val="43E41D1F"/>
    <w:rsid w:val="43E51F12"/>
    <w:rsid w:val="43E53CC0"/>
    <w:rsid w:val="43E77A38"/>
    <w:rsid w:val="43E837B0"/>
    <w:rsid w:val="43E97C54"/>
    <w:rsid w:val="43EA577A"/>
    <w:rsid w:val="43EA7528"/>
    <w:rsid w:val="43EB1B46"/>
    <w:rsid w:val="43EC5F75"/>
    <w:rsid w:val="43EF0FE2"/>
    <w:rsid w:val="43F16B09"/>
    <w:rsid w:val="43F32881"/>
    <w:rsid w:val="43F3462F"/>
    <w:rsid w:val="43F565F9"/>
    <w:rsid w:val="43F6411F"/>
    <w:rsid w:val="43F65ECD"/>
    <w:rsid w:val="43F81C45"/>
    <w:rsid w:val="43F860E9"/>
    <w:rsid w:val="43F959BD"/>
    <w:rsid w:val="43FC1BD5"/>
    <w:rsid w:val="43FD36FF"/>
    <w:rsid w:val="43FE7FBC"/>
    <w:rsid w:val="44000AFA"/>
    <w:rsid w:val="44022AC4"/>
    <w:rsid w:val="44027DCD"/>
    <w:rsid w:val="440426ED"/>
    <w:rsid w:val="44044A8E"/>
    <w:rsid w:val="4404683C"/>
    <w:rsid w:val="440525B4"/>
    <w:rsid w:val="44055D98"/>
    <w:rsid w:val="44071E88"/>
    <w:rsid w:val="44077BDE"/>
    <w:rsid w:val="440A7BCA"/>
    <w:rsid w:val="440C54E6"/>
    <w:rsid w:val="440F6F8F"/>
    <w:rsid w:val="44110EBE"/>
    <w:rsid w:val="44134A1F"/>
    <w:rsid w:val="4413593C"/>
    <w:rsid w:val="44142A1C"/>
    <w:rsid w:val="441822E7"/>
    <w:rsid w:val="44184095"/>
    <w:rsid w:val="44191BBB"/>
    <w:rsid w:val="441A605F"/>
    <w:rsid w:val="441D154C"/>
    <w:rsid w:val="441D78FE"/>
    <w:rsid w:val="441E3E3F"/>
    <w:rsid w:val="44223166"/>
    <w:rsid w:val="442347E8"/>
    <w:rsid w:val="44250560"/>
    <w:rsid w:val="44254A04"/>
    <w:rsid w:val="4427252A"/>
    <w:rsid w:val="44273ACC"/>
    <w:rsid w:val="442742D8"/>
    <w:rsid w:val="442A5B49"/>
    <w:rsid w:val="442C18EF"/>
    <w:rsid w:val="442C5D93"/>
    <w:rsid w:val="442E1B0B"/>
    <w:rsid w:val="442E5667"/>
    <w:rsid w:val="442E7510"/>
    <w:rsid w:val="443239D6"/>
    <w:rsid w:val="44326EAC"/>
    <w:rsid w:val="44332C7D"/>
    <w:rsid w:val="443469F5"/>
    <w:rsid w:val="443864E5"/>
    <w:rsid w:val="443A225E"/>
    <w:rsid w:val="443B538D"/>
    <w:rsid w:val="443B5FD6"/>
    <w:rsid w:val="443E774D"/>
    <w:rsid w:val="4440539A"/>
    <w:rsid w:val="44444E8A"/>
    <w:rsid w:val="44450C02"/>
    <w:rsid w:val="444529B0"/>
    <w:rsid w:val="44486501"/>
    <w:rsid w:val="444A7FC7"/>
    <w:rsid w:val="444C01E3"/>
    <w:rsid w:val="444E5D09"/>
    <w:rsid w:val="444E7AB7"/>
    <w:rsid w:val="4453331F"/>
    <w:rsid w:val="4456696C"/>
    <w:rsid w:val="445826E4"/>
    <w:rsid w:val="445A46AE"/>
    <w:rsid w:val="445B0426"/>
    <w:rsid w:val="445C6678"/>
    <w:rsid w:val="445F1CC4"/>
    <w:rsid w:val="44613C8E"/>
    <w:rsid w:val="44625310"/>
    <w:rsid w:val="4464552C"/>
    <w:rsid w:val="446472DA"/>
    <w:rsid w:val="4467501D"/>
    <w:rsid w:val="446948F1"/>
    <w:rsid w:val="446C0638"/>
    <w:rsid w:val="446E0159"/>
    <w:rsid w:val="44705C7F"/>
    <w:rsid w:val="447500EF"/>
    <w:rsid w:val="4475773A"/>
    <w:rsid w:val="44760DBC"/>
    <w:rsid w:val="44783E9F"/>
    <w:rsid w:val="44784B34"/>
    <w:rsid w:val="447A6AFE"/>
    <w:rsid w:val="447B4624"/>
    <w:rsid w:val="447C0AC8"/>
    <w:rsid w:val="447D039C"/>
    <w:rsid w:val="447D214A"/>
    <w:rsid w:val="44804540"/>
    <w:rsid w:val="44810482"/>
    <w:rsid w:val="44863BD7"/>
    <w:rsid w:val="448654A3"/>
    <w:rsid w:val="44867251"/>
    <w:rsid w:val="4487121B"/>
    <w:rsid w:val="448750D5"/>
    <w:rsid w:val="448939E8"/>
    <w:rsid w:val="448A3C70"/>
    <w:rsid w:val="448B2315"/>
    <w:rsid w:val="448C6376"/>
    <w:rsid w:val="448E07FB"/>
    <w:rsid w:val="448E6105"/>
    <w:rsid w:val="449000D0"/>
    <w:rsid w:val="44901E7E"/>
    <w:rsid w:val="4492209A"/>
    <w:rsid w:val="44933678"/>
    <w:rsid w:val="44935E12"/>
    <w:rsid w:val="44944B08"/>
    <w:rsid w:val="449556E6"/>
    <w:rsid w:val="44957494"/>
    <w:rsid w:val="449A0F4E"/>
    <w:rsid w:val="449C5E6A"/>
    <w:rsid w:val="449F6565"/>
    <w:rsid w:val="44A1408B"/>
    <w:rsid w:val="44A27E03"/>
    <w:rsid w:val="44A43B7B"/>
    <w:rsid w:val="44A818BD"/>
    <w:rsid w:val="44A8366B"/>
    <w:rsid w:val="44AB315B"/>
    <w:rsid w:val="44AB6CB7"/>
    <w:rsid w:val="44AD0C81"/>
    <w:rsid w:val="44AE027F"/>
    <w:rsid w:val="44AE0DAA"/>
    <w:rsid w:val="44AF71F4"/>
    <w:rsid w:val="44B02520"/>
    <w:rsid w:val="44B11B7E"/>
    <w:rsid w:val="44B1539F"/>
    <w:rsid w:val="44B33DBE"/>
    <w:rsid w:val="44B518E4"/>
    <w:rsid w:val="44B55D88"/>
    <w:rsid w:val="44B615E2"/>
    <w:rsid w:val="44B71B00"/>
    <w:rsid w:val="44B82FD1"/>
    <w:rsid w:val="44B85878"/>
    <w:rsid w:val="44BA15F0"/>
    <w:rsid w:val="44BA6EFA"/>
    <w:rsid w:val="44BE2DFB"/>
    <w:rsid w:val="44C1472D"/>
    <w:rsid w:val="44C24001"/>
    <w:rsid w:val="44C304A5"/>
    <w:rsid w:val="44C45FCB"/>
    <w:rsid w:val="44C71617"/>
    <w:rsid w:val="44C77869"/>
    <w:rsid w:val="44CA6317"/>
    <w:rsid w:val="44CB1108"/>
    <w:rsid w:val="44CC2378"/>
    <w:rsid w:val="44CD30D2"/>
    <w:rsid w:val="44CE0BF8"/>
    <w:rsid w:val="44CE6E4A"/>
    <w:rsid w:val="44CE74A2"/>
    <w:rsid w:val="44D02BC2"/>
    <w:rsid w:val="44D22496"/>
    <w:rsid w:val="44D37FBC"/>
    <w:rsid w:val="44D426B2"/>
    <w:rsid w:val="44D53D34"/>
    <w:rsid w:val="44D81A76"/>
    <w:rsid w:val="44D81DAB"/>
    <w:rsid w:val="44D97CC8"/>
    <w:rsid w:val="44DD0E3B"/>
    <w:rsid w:val="44DE52DF"/>
    <w:rsid w:val="44DF4BB3"/>
    <w:rsid w:val="44E04DFA"/>
    <w:rsid w:val="44E346A3"/>
    <w:rsid w:val="44E4041B"/>
    <w:rsid w:val="44E421C9"/>
    <w:rsid w:val="44E451AE"/>
    <w:rsid w:val="44E64193"/>
    <w:rsid w:val="44E65F41"/>
    <w:rsid w:val="44E87F0C"/>
    <w:rsid w:val="44EC59C0"/>
    <w:rsid w:val="44EE4DF6"/>
    <w:rsid w:val="44F05012"/>
    <w:rsid w:val="44F06DC0"/>
    <w:rsid w:val="44F63F31"/>
    <w:rsid w:val="44F87A23"/>
    <w:rsid w:val="44FA379B"/>
    <w:rsid w:val="44FA7C3F"/>
    <w:rsid w:val="44FB36BB"/>
    <w:rsid w:val="44FB5145"/>
    <w:rsid w:val="44FB6886"/>
    <w:rsid w:val="44FC5765"/>
    <w:rsid w:val="44FE16D9"/>
    <w:rsid w:val="44FF34A7"/>
    <w:rsid w:val="44FF6697"/>
    <w:rsid w:val="45034D45"/>
    <w:rsid w:val="4508235C"/>
    <w:rsid w:val="45090FCA"/>
    <w:rsid w:val="450A60D4"/>
    <w:rsid w:val="450B59A8"/>
    <w:rsid w:val="450D1720"/>
    <w:rsid w:val="451231DA"/>
    <w:rsid w:val="45124DC2"/>
    <w:rsid w:val="45140D01"/>
    <w:rsid w:val="45156827"/>
    <w:rsid w:val="451707F1"/>
    <w:rsid w:val="4518723E"/>
    <w:rsid w:val="451A208F"/>
    <w:rsid w:val="451A329F"/>
    <w:rsid w:val="451C7BB5"/>
    <w:rsid w:val="451E1B7F"/>
    <w:rsid w:val="451F1453"/>
    <w:rsid w:val="451F3201"/>
    <w:rsid w:val="45230F44"/>
    <w:rsid w:val="45237196"/>
    <w:rsid w:val="45280308"/>
    <w:rsid w:val="452901C3"/>
    <w:rsid w:val="45294080"/>
    <w:rsid w:val="452B604A"/>
    <w:rsid w:val="452D1DC2"/>
    <w:rsid w:val="452E1696"/>
    <w:rsid w:val="452F5B3A"/>
    <w:rsid w:val="45336CAD"/>
    <w:rsid w:val="45344EFF"/>
    <w:rsid w:val="45372C41"/>
    <w:rsid w:val="453749EF"/>
    <w:rsid w:val="45375398"/>
    <w:rsid w:val="453A003B"/>
    <w:rsid w:val="453B44DF"/>
    <w:rsid w:val="453E18DA"/>
    <w:rsid w:val="453E36AC"/>
    <w:rsid w:val="453E3FCF"/>
    <w:rsid w:val="453F5652"/>
    <w:rsid w:val="45433394"/>
    <w:rsid w:val="45450B59"/>
    <w:rsid w:val="454867BD"/>
    <w:rsid w:val="45486BFC"/>
    <w:rsid w:val="454959B9"/>
    <w:rsid w:val="454A4722"/>
    <w:rsid w:val="454B2ACC"/>
    <w:rsid w:val="454D5543"/>
    <w:rsid w:val="454D7D6F"/>
    <w:rsid w:val="454F1D39"/>
    <w:rsid w:val="454F3AE7"/>
    <w:rsid w:val="454F7F8B"/>
    <w:rsid w:val="4550160D"/>
    <w:rsid w:val="4550336E"/>
    <w:rsid w:val="4555317F"/>
    <w:rsid w:val="45554E75"/>
    <w:rsid w:val="4557299B"/>
    <w:rsid w:val="45576E3F"/>
    <w:rsid w:val="45596713"/>
    <w:rsid w:val="455A06DD"/>
    <w:rsid w:val="455A248C"/>
    <w:rsid w:val="455A6FF1"/>
    <w:rsid w:val="455E1F7C"/>
    <w:rsid w:val="45611A6C"/>
    <w:rsid w:val="45617CBE"/>
    <w:rsid w:val="456261E9"/>
    <w:rsid w:val="456357E4"/>
    <w:rsid w:val="456450B8"/>
    <w:rsid w:val="4565155C"/>
    <w:rsid w:val="45676F6B"/>
    <w:rsid w:val="45684BA8"/>
    <w:rsid w:val="456A6B72"/>
    <w:rsid w:val="456B6447"/>
    <w:rsid w:val="456D0411"/>
    <w:rsid w:val="456D21BF"/>
    <w:rsid w:val="456F4189"/>
    <w:rsid w:val="456F5F37"/>
    <w:rsid w:val="4570065B"/>
    <w:rsid w:val="45700B7C"/>
    <w:rsid w:val="457050EE"/>
    <w:rsid w:val="457479F1"/>
    <w:rsid w:val="457572C5"/>
    <w:rsid w:val="45763769"/>
    <w:rsid w:val="45765517"/>
    <w:rsid w:val="45790B64"/>
    <w:rsid w:val="45795008"/>
    <w:rsid w:val="457A48DC"/>
    <w:rsid w:val="457C4AF8"/>
    <w:rsid w:val="457C68A6"/>
    <w:rsid w:val="457D238B"/>
    <w:rsid w:val="457E617A"/>
    <w:rsid w:val="457F2918"/>
    <w:rsid w:val="45800144"/>
    <w:rsid w:val="45813EBC"/>
    <w:rsid w:val="45824D6D"/>
    <w:rsid w:val="45833790"/>
    <w:rsid w:val="45857508"/>
    <w:rsid w:val="4588349D"/>
    <w:rsid w:val="4588524B"/>
    <w:rsid w:val="458C2FAA"/>
    <w:rsid w:val="458C4D3B"/>
    <w:rsid w:val="458D460F"/>
    <w:rsid w:val="458F3906"/>
    <w:rsid w:val="458F46CB"/>
    <w:rsid w:val="459040FF"/>
    <w:rsid w:val="45912351"/>
    <w:rsid w:val="45927E77"/>
    <w:rsid w:val="45950DD3"/>
    <w:rsid w:val="459751AB"/>
    <w:rsid w:val="45997458"/>
    <w:rsid w:val="459B31D0"/>
    <w:rsid w:val="459C4852"/>
    <w:rsid w:val="45A04342"/>
    <w:rsid w:val="45A1630C"/>
    <w:rsid w:val="45A32084"/>
    <w:rsid w:val="45A33E32"/>
    <w:rsid w:val="45A35BE1"/>
    <w:rsid w:val="45A50107"/>
    <w:rsid w:val="45A51959"/>
    <w:rsid w:val="45A81449"/>
    <w:rsid w:val="45A831F7"/>
    <w:rsid w:val="45A858ED"/>
    <w:rsid w:val="45AC0F39"/>
    <w:rsid w:val="45AD2F03"/>
    <w:rsid w:val="45AE3109"/>
    <w:rsid w:val="45AF4585"/>
    <w:rsid w:val="45B20519"/>
    <w:rsid w:val="45B222C8"/>
    <w:rsid w:val="45B24076"/>
    <w:rsid w:val="45B7168C"/>
    <w:rsid w:val="45B85B30"/>
    <w:rsid w:val="45B95404"/>
    <w:rsid w:val="45BA0E9D"/>
    <w:rsid w:val="45BC4EF4"/>
    <w:rsid w:val="45BD781E"/>
    <w:rsid w:val="45C049E4"/>
    <w:rsid w:val="45C1250B"/>
    <w:rsid w:val="45C2075D"/>
    <w:rsid w:val="45C5006A"/>
    <w:rsid w:val="45C5024D"/>
    <w:rsid w:val="45C63752"/>
    <w:rsid w:val="45C83899"/>
    <w:rsid w:val="45C97502"/>
    <w:rsid w:val="45CA0992"/>
    <w:rsid w:val="45CA13BF"/>
    <w:rsid w:val="45CC5137"/>
    <w:rsid w:val="45CC5E83"/>
    <w:rsid w:val="45D037DC"/>
    <w:rsid w:val="45D05C94"/>
    <w:rsid w:val="45D40490"/>
    <w:rsid w:val="45D44615"/>
    <w:rsid w:val="45D466E2"/>
    <w:rsid w:val="45D65FB6"/>
    <w:rsid w:val="45D73ADC"/>
    <w:rsid w:val="45D95AA6"/>
    <w:rsid w:val="45D97B03"/>
    <w:rsid w:val="45DB35CC"/>
    <w:rsid w:val="45DE30BD"/>
    <w:rsid w:val="45E2495B"/>
    <w:rsid w:val="45E748CA"/>
    <w:rsid w:val="45E85CE9"/>
    <w:rsid w:val="45E87A97"/>
    <w:rsid w:val="45EA3344"/>
    <w:rsid w:val="45EA380F"/>
    <w:rsid w:val="45EE77A4"/>
    <w:rsid w:val="45EF121D"/>
    <w:rsid w:val="45EF7078"/>
    <w:rsid w:val="45F02CCE"/>
    <w:rsid w:val="45F0744B"/>
    <w:rsid w:val="45F34DBA"/>
    <w:rsid w:val="45F4643C"/>
    <w:rsid w:val="45F621B4"/>
    <w:rsid w:val="45F8417E"/>
    <w:rsid w:val="45FB77CB"/>
    <w:rsid w:val="45FC3821"/>
    <w:rsid w:val="45FD1795"/>
    <w:rsid w:val="45FE72BB"/>
    <w:rsid w:val="45FF375F"/>
    <w:rsid w:val="46020B59"/>
    <w:rsid w:val="46032B23"/>
    <w:rsid w:val="460348D1"/>
    <w:rsid w:val="46040D75"/>
    <w:rsid w:val="46043BEC"/>
    <w:rsid w:val="46080139"/>
    <w:rsid w:val="46081EE8"/>
    <w:rsid w:val="460A3EB2"/>
    <w:rsid w:val="460D74FE"/>
    <w:rsid w:val="46130905"/>
    <w:rsid w:val="46145FC1"/>
    <w:rsid w:val="46195EA3"/>
    <w:rsid w:val="461A0599"/>
    <w:rsid w:val="461B4910"/>
    <w:rsid w:val="461B7E6D"/>
    <w:rsid w:val="461E47A9"/>
    <w:rsid w:val="461E53A0"/>
    <w:rsid w:val="461F3847"/>
    <w:rsid w:val="461F5BAF"/>
    <w:rsid w:val="461F6BBA"/>
    <w:rsid w:val="46214A5A"/>
    <w:rsid w:val="46236D21"/>
    <w:rsid w:val="46244F73"/>
    <w:rsid w:val="46252A2C"/>
    <w:rsid w:val="462705C0"/>
    <w:rsid w:val="46276812"/>
    <w:rsid w:val="462821D9"/>
    <w:rsid w:val="46284338"/>
    <w:rsid w:val="462A00B0"/>
    <w:rsid w:val="462A4554"/>
    <w:rsid w:val="462B7D2E"/>
    <w:rsid w:val="462C02CC"/>
    <w:rsid w:val="462C3E28"/>
    <w:rsid w:val="462E521F"/>
    <w:rsid w:val="462F1C33"/>
    <w:rsid w:val="46366A55"/>
    <w:rsid w:val="463A0AA6"/>
    <w:rsid w:val="463B050F"/>
    <w:rsid w:val="463B406B"/>
    <w:rsid w:val="463B7823"/>
    <w:rsid w:val="463D7DE3"/>
    <w:rsid w:val="463F1DAD"/>
    <w:rsid w:val="463F7FFF"/>
    <w:rsid w:val="464253F9"/>
    <w:rsid w:val="46454EEA"/>
    <w:rsid w:val="46470C62"/>
    <w:rsid w:val="46475DC6"/>
    <w:rsid w:val="46476EB4"/>
    <w:rsid w:val="464822E6"/>
    <w:rsid w:val="46492C2C"/>
    <w:rsid w:val="464A0752"/>
    <w:rsid w:val="464A2500"/>
    <w:rsid w:val="464A534D"/>
    <w:rsid w:val="464E3D9E"/>
    <w:rsid w:val="464F1BEA"/>
    <w:rsid w:val="464F7B16"/>
    <w:rsid w:val="46503FBA"/>
    <w:rsid w:val="46517D32"/>
    <w:rsid w:val="46535859"/>
    <w:rsid w:val="4654512D"/>
    <w:rsid w:val="46565349"/>
    <w:rsid w:val="46592743"/>
    <w:rsid w:val="465A0995"/>
    <w:rsid w:val="465A6BE7"/>
    <w:rsid w:val="465C029D"/>
    <w:rsid w:val="465E7D59"/>
    <w:rsid w:val="46647A66"/>
    <w:rsid w:val="46672E81"/>
    <w:rsid w:val="46696E2A"/>
    <w:rsid w:val="466B2BA2"/>
    <w:rsid w:val="46715CDF"/>
    <w:rsid w:val="46731A57"/>
    <w:rsid w:val="467557CF"/>
    <w:rsid w:val="46761547"/>
    <w:rsid w:val="467632F5"/>
    <w:rsid w:val="46767799"/>
    <w:rsid w:val="46780E1B"/>
    <w:rsid w:val="467B6B5D"/>
    <w:rsid w:val="467D28D5"/>
    <w:rsid w:val="46806A08"/>
    <w:rsid w:val="468477C0"/>
    <w:rsid w:val="46863258"/>
    <w:rsid w:val="46894BC7"/>
    <w:rsid w:val="468974CC"/>
    <w:rsid w:val="468E063F"/>
    <w:rsid w:val="4690085B"/>
    <w:rsid w:val="46902609"/>
    <w:rsid w:val="46916381"/>
    <w:rsid w:val="46933EA7"/>
    <w:rsid w:val="46936EA4"/>
    <w:rsid w:val="46957C1F"/>
    <w:rsid w:val="46963997"/>
    <w:rsid w:val="46971BE9"/>
    <w:rsid w:val="46976927"/>
    <w:rsid w:val="4699566E"/>
    <w:rsid w:val="469A5235"/>
    <w:rsid w:val="469B2D5C"/>
    <w:rsid w:val="469C7200"/>
    <w:rsid w:val="469D6BC0"/>
    <w:rsid w:val="469E7080"/>
    <w:rsid w:val="469F45FA"/>
    <w:rsid w:val="46A14816"/>
    <w:rsid w:val="46A61E2C"/>
    <w:rsid w:val="46A86BFA"/>
    <w:rsid w:val="46A97989"/>
    <w:rsid w:val="46AC4F69"/>
    <w:rsid w:val="46AC5AA6"/>
    <w:rsid w:val="46AE6F33"/>
    <w:rsid w:val="46AE7B45"/>
    <w:rsid w:val="46AF05B5"/>
    <w:rsid w:val="46AF1059"/>
    <w:rsid w:val="46B04A59"/>
    <w:rsid w:val="46B1257F"/>
    <w:rsid w:val="46B300A5"/>
    <w:rsid w:val="46B502C1"/>
    <w:rsid w:val="46B81B60"/>
    <w:rsid w:val="46BA0199"/>
    <w:rsid w:val="46BA1434"/>
    <w:rsid w:val="46BA7686"/>
    <w:rsid w:val="46BC33FE"/>
    <w:rsid w:val="46BF4C9C"/>
    <w:rsid w:val="46C027C2"/>
    <w:rsid w:val="46C155A5"/>
    <w:rsid w:val="46C2478C"/>
    <w:rsid w:val="46C329DE"/>
    <w:rsid w:val="46C73B51"/>
    <w:rsid w:val="46C77B51"/>
    <w:rsid w:val="46C978C9"/>
    <w:rsid w:val="46CC1167"/>
    <w:rsid w:val="46CD198D"/>
    <w:rsid w:val="46CE59EE"/>
    <w:rsid w:val="46CF6E7E"/>
    <w:rsid w:val="46D46E6B"/>
    <w:rsid w:val="46D544C0"/>
    <w:rsid w:val="46D85D5E"/>
    <w:rsid w:val="46DA1AD6"/>
    <w:rsid w:val="46DB2D69"/>
    <w:rsid w:val="46DD3374"/>
    <w:rsid w:val="46DD5122"/>
    <w:rsid w:val="46DF0E9A"/>
    <w:rsid w:val="46DF70EC"/>
    <w:rsid w:val="46E12E64"/>
    <w:rsid w:val="46E62229"/>
    <w:rsid w:val="46E81166"/>
    <w:rsid w:val="46E841F3"/>
    <w:rsid w:val="46EB3CE3"/>
    <w:rsid w:val="46EC35B7"/>
    <w:rsid w:val="46EE5581"/>
    <w:rsid w:val="46EE732F"/>
    <w:rsid w:val="46F104F7"/>
    <w:rsid w:val="46F10D88"/>
    <w:rsid w:val="46F30DEA"/>
    <w:rsid w:val="46F506BE"/>
    <w:rsid w:val="46F56910"/>
    <w:rsid w:val="46F661E4"/>
    <w:rsid w:val="46FC1A4C"/>
    <w:rsid w:val="46FF32EA"/>
    <w:rsid w:val="46FF7608"/>
    <w:rsid w:val="470073ED"/>
    <w:rsid w:val="4701087D"/>
    <w:rsid w:val="470152B5"/>
    <w:rsid w:val="47022DDB"/>
    <w:rsid w:val="4703102D"/>
    <w:rsid w:val="470923BB"/>
    <w:rsid w:val="470C5990"/>
    <w:rsid w:val="470D3C59"/>
    <w:rsid w:val="470E79D1"/>
    <w:rsid w:val="4714323A"/>
    <w:rsid w:val="47150D60"/>
    <w:rsid w:val="47161613"/>
    <w:rsid w:val="47166AD5"/>
    <w:rsid w:val="4718206C"/>
    <w:rsid w:val="471843AC"/>
    <w:rsid w:val="47190850"/>
    <w:rsid w:val="471A1ED2"/>
    <w:rsid w:val="471A6376"/>
    <w:rsid w:val="471C20EE"/>
    <w:rsid w:val="471D14BA"/>
    <w:rsid w:val="471E2976"/>
    <w:rsid w:val="471F3E06"/>
    <w:rsid w:val="471F5F78"/>
    <w:rsid w:val="4725528A"/>
    <w:rsid w:val="47256C62"/>
    <w:rsid w:val="47262F6D"/>
    <w:rsid w:val="47282841"/>
    <w:rsid w:val="472D42FC"/>
    <w:rsid w:val="472E597E"/>
    <w:rsid w:val="472F4720"/>
    <w:rsid w:val="47305B9A"/>
    <w:rsid w:val="473232CF"/>
    <w:rsid w:val="4733065F"/>
    <w:rsid w:val="47330D5C"/>
    <w:rsid w:val="47347438"/>
    <w:rsid w:val="4735145E"/>
    <w:rsid w:val="47392CA0"/>
    <w:rsid w:val="473A07C7"/>
    <w:rsid w:val="473A4323"/>
    <w:rsid w:val="473B4A6F"/>
    <w:rsid w:val="473C453F"/>
    <w:rsid w:val="47411B55"/>
    <w:rsid w:val="474156B1"/>
    <w:rsid w:val="47424128"/>
    <w:rsid w:val="474358CD"/>
    <w:rsid w:val="47462CC7"/>
    <w:rsid w:val="474653BD"/>
    <w:rsid w:val="4746716B"/>
    <w:rsid w:val="47482EE3"/>
    <w:rsid w:val="47484E32"/>
    <w:rsid w:val="47486A40"/>
    <w:rsid w:val="47490A0A"/>
    <w:rsid w:val="474927B8"/>
    <w:rsid w:val="474D22A8"/>
    <w:rsid w:val="474D4056"/>
    <w:rsid w:val="474E7DCE"/>
    <w:rsid w:val="47503B46"/>
    <w:rsid w:val="47530F1F"/>
    <w:rsid w:val="475353E4"/>
    <w:rsid w:val="47543636"/>
    <w:rsid w:val="475573AE"/>
    <w:rsid w:val="47574ED5"/>
    <w:rsid w:val="475A6773"/>
    <w:rsid w:val="475B6938"/>
    <w:rsid w:val="475C24EB"/>
    <w:rsid w:val="475D1A18"/>
    <w:rsid w:val="475E2707"/>
    <w:rsid w:val="475E5238"/>
    <w:rsid w:val="475F1FDB"/>
    <w:rsid w:val="476060E7"/>
    <w:rsid w:val="4760647F"/>
    <w:rsid w:val="47633879"/>
    <w:rsid w:val="476364D9"/>
    <w:rsid w:val="47652830"/>
    <w:rsid w:val="47655843"/>
    <w:rsid w:val="476561F7"/>
    <w:rsid w:val="47666D96"/>
    <w:rsid w:val="47694C08"/>
    <w:rsid w:val="476D46F8"/>
    <w:rsid w:val="476F03A3"/>
    <w:rsid w:val="476F0470"/>
    <w:rsid w:val="476F66C2"/>
    <w:rsid w:val="4770221E"/>
    <w:rsid w:val="47705F96"/>
    <w:rsid w:val="477438CC"/>
    <w:rsid w:val="477535AD"/>
    <w:rsid w:val="47777325"/>
    <w:rsid w:val="47794FBF"/>
    <w:rsid w:val="477A6E15"/>
    <w:rsid w:val="477B5067"/>
    <w:rsid w:val="477C2B8D"/>
    <w:rsid w:val="477D7E68"/>
    <w:rsid w:val="477F7142"/>
    <w:rsid w:val="4780267D"/>
    <w:rsid w:val="47811F51"/>
    <w:rsid w:val="47841A42"/>
    <w:rsid w:val="478A34FC"/>
    <w:rsid w:val="478B0022"/>
    <w:rsid w:val="478E377E"/>
    <w:rsid w:val="478E44F5"/>
    <w:rsid w:val="47936A47"/>
    <w:rsid w:val="479559FD"/>
    <w:rsid w:val="47961EA1"/>
    <w:rsid w:val="4799373F"/>
    <w:rsid w:val="4799729B"/>
    <w:rsid w:val="479E6FA7"/>
    <w:rsid w:val="479F062A"/>
    <w:rsid w:val="47A345BE"/>
    <w:rsid w:val="47A82020"/>
    <w:rsid w:val="47A85730"/>
    <w:rsid w:val="47AA5523"/>
    <w:rsid w:val="47AD71EA"/>
    <w:rsid w:val="47AF4D11"/>
    <w:rsid w:val="47B16CDB"/>
    <w:rsid w:val="47B20B3C"/>
    <w:rsid w:val="47B237FC"/>
    <w:rsid w:val="47B61C55"/>
    <w:rsid w:val="47B642F1"/>
    <w:rsid w:val="47B70069"/>
    <w:rsid w:val="47B71E17"/>
    <w:rsid w:val="47B73BC5"/>
    <w:rsid w:val="47B75973"/>
    <w:rsid w:val="47BB1907"/>
    <w:rsid w:val="47BC742D"/>
    <w:rsid w:val="47BE31A6"/>
    <w:rsid w:val="47BE6D02"/>
    <w:rsid w:val="47C02A7A"/>
    <w:rsid w:val="47C42C03"/>
    <w:rsid w:val="47C50090"/>
    <w:rsid w:val="47C6205A"/>
    <w:rsid w:val="47C63E08"/>
    <w:rsid w:val="47C66525"/>
    <w:rsid w:val="47CD163B"/>
    <w:rsid w:val="47D14C87"/>
    <w:rsid w:val="47D25BD3"/>
    <w:rsid w:val="47D26C51"/>
    <w:rsid w:val="47D32A4A"/>
    <w:rsid w:val="47D429C9"/>
    <w:rsid w:val="47D46525"/>
    <w:rsid w:val="47D6229D"/>
    <w:rsid w:val="47DB78B4"/>
    <w:rsid w:val="47DC362C"/>
    <w:rsid w:val="47DE55F6"/>
    <w:rsid w:val="47E0136E"/>
    <w:rsid w:val="47E23E77"/>
    <w:rsid w:val="47E250E6"/>
    <w:rsid w:val="47E726FC"/>
    <w:rsid w:val="47E80223"/>
    <w:rsid w:val="47E81FD1"/>
    <w:rsid w:val="47E95008"/>
    <w:rsid w:val="47E97841"/>
    <w:rsid w:val="47EB386F"/>
    <w:rsid w:val="47ED5839"/>
    <w:rsid w:val="47ED75E7"/>
    <w:rsid w:val="47EF3A41"/>
    <w:rsid w:val="47F16027"/>
    <w:rsid w:val="47F27463"/>
    <w:rsid w:val="47F70466"/>
    <w:rsid w:val="47F72214"/>
    <w:rsid w:val="47F84B91"/>
    <w:rsid w:val="47F87820"/>
    <w:rsid w:val="47F92D32"/>
    <w:rsid w:val="47FA337C"/>
    <w:rsid w:val="47FB61A8"/>
    <w:rsid w:val="47FC782A"/>
    <w:rsid w:val="47FE7A46"/>
    <w:rsid w:val="48006E83"/>
    <w:rsid w:val="48007F0A"/>
    <w:rsid w:val="48010AA9"/>
    <w:rsid w:val="480239B3"/>
    <w:rsid w:val="48027536"/>
    <w:rsid w:val="48052B82"/>
    <w:rsid w:val="48052D08"/>
    <w:rsid w:val="48074B4D"/>
    <w:rsid w:val="480768FB"/>
    <w:rsid w:val="48082673"/>
    <w:rsid w:val="480A0199"/>
    <w:rsid w:val="480A0F73"/>
    <w:rsid w:val="480C5CBF"/>
    <w:rsid w:val="481132D5"/>
    <w:rsid w:val="481334F1"/>
    <w:rsid w:val="48141018"/>
    <w:rsid w:val="48147269"/>
    <w:rsid w:val="48166B3E"/>
    <w:rsid w:val="481728B6"/>
    <w:rsid w:val="48181D3F"/>
    <w:rsid w:val="481951DF"/>
    <w:rsid w:val="481A3A9E"/>
    <w:rsid w:val="481B4154"/>
    <w:rsid w:val="481C5974"/>
    <w:rsid w:val="481D611E"/>
    <w:rsid w:val="481E1E96"/>
    <w:rsid w:val="48205C0E"/>
    <w:rsid w:val="48217291"/>
    <w:rsid w:val="482379D2"/>
    <w:rsid w:val="48253225"/>
    <w:rsid w:val="48266353"/>
    <w:rsid w:val="482B7A7B"/>
    <w:rsid w:val="482E4AE5"/>
    <w:rsid w:val="482F19AD"/>
    <w:rsid w:val="48311BC9"/>
    <w:rsid w:val="48315726"/>
    <w:rsid w:val="483250ED"/>
    <w:rsid w:val="483506A6"/>
    <w:rsid w:val="48364707"/>
    <w:rsid w:val="4839282C"/>
    <w:rsid w:val="48396CD0"/>
    <w:rsid w:val="483B2A48"/>
    <w:rsid w:val="483B65A4"/>
    <w:rsid w:val="483E6094"/>
    <w:rsid w:val="484511D1"/>
    <w:rsid w:val="4846755A"/>
    <w:rsid w:val="48480CC1"/>
    <w:rsid w:val="484A400D"/>
    <w:rsid w:val="484A4A39"/>
    <w:rsid w:val="484B78FD"/>
    <w:rsid w:val="484D0086"/>
    <w:rsid w:val="485052AE"/>
    <w:rsid w:val="48517B76"/>
    <w:rsid w:val="485338EE"/>
    <w:rsid w:val="48546800"/>
    <w:rsid w:val="4855757D"/>
    <w:rsid w:val="4856518C"/>
    <w:rsid w:val="48594C7C"/>
    <w:rsid w:val="485A1120"/>
    <w:rsid w:val="485B09F4"/>
    <w:rsid w:val="485D476D"/>
    <w:rsid w:val="485F6737"/>
    <w:rsid w:val="48621D83"/>
    <w:rsid w:val="48623B31"/>
    <w:rsid w:val="486378A9"/>
    <w:rsid w:val="48643D4D"/>
    <w:rsid w:val="48653621"/>
    <w:rsid w:val="48671147"/>
    <w:rsid w:val="48677399"/>
    <w:rsid w:val="48691363"/>
    <w:rsid w:val="486A6E89"/>
    <w:rsid w:val="486E0728"/>
    <w:rsid w:val="487116B3"/>
    <w:rsid w:val="4871646A"/>
    <w:rsid w:val="48733F90"/>
    <w:rsid w:val="487344BE"/>
    <w:rsid w:val="48757D08"/>
    <w:rsid w:val="48767E8F"/>
    <w:rsid w:val="487B1097"/>
    <w:rsid w:val="487B2E45"/>
    <w:rsid w:val="487E46E3"/>
    <w:rsid w:val="48827784"/>
    <w:rsid w:val="4884419E"/>
    <w:rsid w:val="4884619D"/>
    <w:rsid w:val="48883652"/>
    <w:rsid w:val="488A3088"/>
    <w:rsid w:val="488C32A4"/>
    <w:rsid w:val="488C3610"/>
    <w:rsid w:val="488E2B78"/>
    <w:rsid w:val="488E4926"/>
    <w:rsid w:val="48914416"/>
    <w:rsid w:val="48917477"/>
    <w:rsid w:val="48931F3C"/>
    <w:rsid w:val="489363E0"/>
    <w:rsid w:val="48961A2D"/>
    <w:rsid w:val="48981C49"/>
    <w:rsid w:val="489C351F"/>
    <w:rsid w:val="489C38B5"/>
    <w:rsid w:val="489D100D"/>
    <w:rsid w:val="489D2DBB"/>
    <w:rsid w:val="489F2FD7"/>
    <w:rsid w:val="48A4239B"/>
    <w:rsid w:val="48A57EC2"/>
    <w:rsid w:val="48A64365"/>
    <w:rsid w:val="48A73C3A"/>
    <w:rsid w:val="48A759E8"/>
    <w:rsid w:val="48A80127"/>
    <w:rsid w:val="48AA5EB9"/>
    <w:rsid w:val="48AC2FFE"/>
    <w:rsid w:val="48AC4726"/>
    <w:rsid w:val="48AE4FC8"/>
    <w:rsid w:val="48B12D0A"/>
    <w:rsid w:val="48B25926"/>
    <w:rsid w:val="48B40105"/>
    <w:rsid w:val="48B545A9"/>
    <w:rsid w:val="48B667B4"/>
    <w:rsid w:val="48B93527"/>
    <w:rsid w:val="48BB76E5"/>
    <w:rsid w:val="48BD345D"/>
    <w:rsid w:val="48BE0C93"/>
    <w:rsid w:val="48BF0F83"/>
    <w:rsid w:val="48BF5427"/>
    <w:rsid w:val="48BF71D5"/>
    <w:rsid w:val="48BF7A7B"/>
    <w:rsid w:val="48C04CFB"/>
    <w:rsid w:val="48C42A3E"/>
    <w:rsid w:val="48C447EC"/>
    <w:rsid w:val="48C7608A"/>
    <w:rsid w:val="48CC36A0"/>
    <w:rsid w:val="48D013E2"/>
    <w:rsid w:val="48D03190"/>
    <w:rsid w:val="48D10CB7"/>
    <w:rsid w:val="48D11AB6"/>
    <w:rsid w:val="48D367DD"/>
    <w:rsid w:val="48D82045"/>
    <w:rsid w:val="48D93A13"/>
    <w:rsid w:val="48DA400F"/>
    <w:rsid w:val="48DB1B35"/>
    <w:rsid w:val="48DD58AD"/>
    <w:rsid w:val="48DD765B"/>
    <w:rsid w:val="48DF33D4"/>
    <w:rsid w:val="48E5096A"/>
    <w:rsid w:val="48E704DA"/>
    <w:rsid w:val="48E72288"/>
    <w:rsid w:val="48E924A4"/>
    <w:rsid w:val="48E938EC"/>
    <w:rsid w:val="48E94252"/>
    <w:rsid w:val="48EB3628"/>
    <w:rsid w:val="48EB47DC"/>
    <w:rsid w:val="48EB7FCA"/>
    <w:rsid w:val="48F00ECF"/>
    <w:rsid w:val="48F0738F"/>
    <w:rsid w:val="48F21359"/>
    <w:rsid w:val="48F2260D"/>
    <w:rsid w:val="48F50E49"/>
    <w:rsid w:val="48F77F3D"/>
    <w:rsid w:val="48FA1FBB"/>
    <w:rsid w:val="48FB0953"/>
    <w:rsid w:val="48FC3F85"/>
    <w:rsid w:val="48FF3FE4"/>
    <w:rsid w:val="49001A2F"/>
    <w:rsid w:val="4900334A"/>
    <w:rsid w:val="490049BE"/>
    <w:rsid w:val="4901159C"/>
    <w:rsid w:val="490177EE"/>
    <w:rsid w:val="490270C2"/>
    <w:rsid w:val="49042E3A"/>
    <w:rsid w:val="49060960"/>
    <w:rsid w:val="49064E04"/>
    <w:rsid w:val="490746D8"/>
    <w:rsid w:val="49080B7C"/>
    <w:rsid w:val="490C7F41"/>
    <w:rsid w:val="490E1F0B"/>
    <w:rsid w:val="490E3CB9"/>
    <w:rsid w:val="491017DF"/>
    <w:rsid w:val="491237A9"/>
    <w:rsid w:val="491312CF"/>
    <w:rsid w:val="49153299"/>
    <w:rsid w:val="49155047"/>
    <w:rsid w:val="49156DF5"/>
    <w:rsid w:val="491646DC"/>
    <w:rsid w:val="49166DC3"/>
    <w:rsid w:val="49177011"/>
    <w:rsid w:val="49192A4C"/>
    <w:rsid w:val="491C63D6"/>
    <w:rsid w:val="491D3EFC"/>
    <w:rsid w:val="491D766A"/>
    <w:rsid w:val="491E223B"/>
    <w:rsid w:val="491E7603"/>
    <w:rsid w:val="49211C3E"/>
    <w:rsid w:val="4921579A"/>
    <w:rsid w:val="4922747B"/>
    <w:rsid w:val="492359B6"/>
    <w:rsid w:val="49260D69"/>
    <w:rsid w:val="49261002"/>
    <w:rsid w:val="49276B29"/>
    <w:rsid w:val="49284D7B"/>
    <w:rsid w:val="492928A1"/>
    <w:rsid w:val="49296D45"/>
    <w:rsid w:val="492B1C6E"/>
    <w:rsid w:val="492E7EB7"/>
    <w:rsid w:val="492F6EEB"/>
    <w:rsid w:val="49301E81"/>
    <w:rsid w:val="49302DA0"/>
    <w:rsid w:val="49304756"/>
    <w:rsid w:val="493059DD"/>
    <w:rsid w:val="493279A7"/>
    <w:rsid w:val="4933371F"/>
    <w:rsid w:val="493629C7"/>
    <w:rsid w:val="493A4AAE"/>
    <w:rsid w:val="493D00FA"/>
    <w:rsid w:val="493F20C4"/>
    <w:rsid w:val="49415E3C"/>
    <w:rsid w:val="49417BEA"/>
    <w:rsid w:val="49463453"/>
    <w:rsid w:val="494871CB"/>
    <w:rsid w:val="49492F43"/>
    <w:rsid w:val="4949644B"/>
    <w:rsid w:val="49496A9F"/>
    <w:rsid w:val="494D47E1"/>
    <w:rsid w:val="49507E2D"/>
    <w:rsid w:val="495426F7"/>
    <w:rsid w:val="495518E8"/>
    <w:rsid w:val="49553696"/>
    <w:rsid w:val="49557B3A"/>
    <w:rsid w:val="495913D8"/>
    <w:rsid w:val="495C15F9"/>
    <w:rsid w:val="495C4A24"/>
    <w:rsid w:val="495E25EB"/>
    <w:rsid w:val="4960336B"/>
    <w:rsid w:val="4961028C"/>
    <w:rsid w:val="49634005"/>
    <w:rsid w:val="496B110B"/>
    <w:rsid w:val="496B4C67"/>
    <w:rsid w:val="496D6C31"/>
    <w:rsid w:val="49724248"/>
    <w:rsid w:val="49731D6E"/>
    <w:rsid w:val="49740948"/>
    <w:rsid w:val="49777AB0"/>
    <w:rsid w:val="49781705"/>
    <w:rsid w:val="497955D6"/>
    <w:rsid w:val="497A75A0"/>
    <w:rsid w:val="497C50C6"/>
    <w:rsid w:val="497D29A6"/>
    <w:rsid w:val="497E5577"/>
    <w:rsid w:val="49807E97"/>
    <w:rsid w:val="4981448B"/>
    <w:rsid w:val="49830203"/>
    <w:rsid w:val="498502AC"/>
    <w:rsid w:val="49867CF3"/>
    <w:rsid w:val="49883A6B"/>
    <w:rsid w:val="49885819"/>
    <w:rsid w:val="498875C7"/>
    <w:rsid w:val="49891591"/>
    <w:rsid w:val="498A77E3"/>
    <w:rsid w:val="498C7B7B"/>
    <w:rsid w:val="498D72D3"/>
    <w:rsid w:val="498E0956"/>
    <w:rsid w:val="49902920"/>
    <w:rsid w:val="49935F6C"/>
    <w:rsid w:val="49970B50"/>
    <w:rsid w:val="49971F00"/>
    <w:rsid w:val="49975A5C"/>
    <w:rsid w:val="4997611E"/>
    <w:rsid w:val="4998062F"/>
    <w:rsid w:val="49980CEF"/>
    <w:rsid w:val="499917D4"/>
    <w:rsid w:val="49997A26"/>
    <w:rsid w:val="499E328F"/>
    <w:rsid w:val="499F5FF1"/>
    <w:rsid w:val="49A00BAD"/>
    <w:rsid w:val="49A07481"/>
    <w:rsid w:val="49A14B2D"/>
    <w:rsid w:val="49A30E7F"/>
    <w:rsid w:val="49A40179"/>
    <w:rsid w:val="49A47292"/>
    <w:rsid w:val="49A870A3"/>
    <w:rsid w:val="49A87C69"/>
    <w:rsid w:val="49AA39E1"/>
    <w:rsid w:val="49AB775A"/>
    <w:rsid w:val="49AD1724"/>
    <w:rsid w:val="49AD34D2"/>
    <w:rsid w:val="49B06B1E"/>
    <w:rsid w:val="49B26BE7"/>
    <w:rsid w:val="49B74350"/>
    <w:rsid w:val="49B760FE"/>
    <w:rsid w:val="49B93C25"/>
    <w:rsid w:val="49BB2948"/>
    <w:rsid w:val="49BB5BEF"/>
    <w:rsid w:val="49BC1967"/>
    <w:rsid w:val="49BC3715"/>
    <w:rsid w:val="49BC592B"/>
    <w:rsid w:val="49BE7E39"/>
    <w:rsid w:val="49C03205"/>
    <w:rsid w:val="49C115B4"/>
    <w:rsid w:val="49C12AD9"/>
    <w:rsid w:val="49C16F7D"/>
    <w:rsid w:val="49C32CF5"/>
    <w:rsid w:val="49C37C11"/>
    <w:rsid w:val="49C5081B"/>
    <w:rsid w:val="49C600F0"/>
    <w:rsid w:val="49C64593"/>
    <w:rsid w:val="49CA0FAD"/>
    <w:rsid w:val="49CB3958"/>
    <w:rsid w:val="49CE24FF"/>
    <w:rsid w:val="49CF169A"/>
    <w:rsid w:val="49D00F6E"/>
    <w:rsid w:val="49D015E7"/>
    <w:rsid w:val="49D03871"/>
    <w:rsid w:val="49D24CE6"/>
    <w:rsid w:val="49D767A1"/>
    <w:rsid w:val="49DA3B9B"/>
    <w:rsid w:val="49DB6B3B"/>
    <w:rsid w:val="49DE7B2F"/>
    <w:rsid w:val="49DF11B1"/>
    <w:rsid w:val="49E14F29"/>
    <w:rsid w:val="49E15DA4"/>
    <w:rsid w:val="49EA0BB5"/>
    <w:rsid w:val="49EA2030"/>
    <w:rsid w:val="49EC3FFA"/>
    <w:rsid w:val="49ED7D72"/>
    <w:rsid w:val="49EE6966"/>
    <w:rsid w:val="49EF3AEA"/>
    <w:rsid w:val="49F033BE"/>
    <w:rsid w:val="49F11610"/>
    <w:rsid w:val="49F17862"/>
    <w:rsid w:val="49F25388"/>
    <w:rsid w:val="49F509D5"/>
    <w:rsid w:val="49F70BF1"/>
    <w:rsid w:val="49F7474D"/>
    <w:rsid w:val="49F954BB"/>
    <w:rsid w:val="49F96717"/>
    <w:rsid w:val="49FB248F"/>
    <w:rsid w:val="49FD6207"/>
    <w:rsid w:val="4A001853"/>
    <w:rsid w:val="4A02381D"/>
    <w:rsid w:val="4A031344"/>
    <w:rsid w:val="4A050C18"/>
    <w:rsid w:val="4A05330E"/>
    <w:rsid w:val="4A056E6A"/>
    <w:rsid w:val="4A06662F"/>
    <w:rsid w:val="4A08695A"/>
    <w:rsid w:val="4A086E2D"/>
    <w:rsid w:val="4A0A26D2"/>
    <w:rsid w:val="4A0A4480"/>
    <w:rsid w:val="4A0B01F8"/>
    <w:rsid w:val="4A0F0210"/>
    <w:rsid w:val="4A105988"/>
    <w:rsid w:val="4A1277D9"/>
    <w:rsid w:val="4A1649E3"/>
    <w:rsid w:val="4A166124"/>
    <w:rsid w:val="4A183041"/>
    <w:rsid w:val="4A1878A4"/>
    <w:rsid w:val="4A1878EC"/>
    <w:rsid w:val="4A190B67"/>
    <w:rsid w:val="4A1C2405"/>
    <w:rsid w:val="4A201EF6"/>
    <w:rsid w:val="4A203CA4"/>
    <w:rsid w:val="4A2A565D"/>
    <w:rsid w:val="4A2B43F6"/>
    <w:rsid w:val="4A2C089A"/>
    <w:rsid w:val="4A2D4613"/>
    <w:rsid w:val="4A2F038B"/>
    <w:rsid w:val="4A314D53"/>
    <w:rsid w:val="4A351969"/>
    <w:rsid w:val="4A360531"/>
    <w:rsid w:val="4A361719"/>
    <w:rsid w:val="4A370FED"/>
    <w:rsid w:val="4A394D65"/>
    <w:rsid w:val="4A396B13"/>
    <w:rsid w:val="4A3B0ADD"/>
    <w:rsid w:val="4A3C6604"/>
    <w:rsid w:val="4A3D2AA8"/>
    <w:rsid w:val="4A4041A0"/>
    <w:rsid w:val="4A447A61"/>
    <w:rsid w:val="4A455374"/>
    <w:rsid w:val="4A4554B8"/>
    <w:rsid w:val="4A45552A"/>
    <w:rsid w:val="4A4643AD"/>
    <w:rsid w:val="4A4756D4"/>
    <w:rsid w:val="4A4831FA"/>
    <w:rsid w:val="4A4D7683"/>
    <w:rsid w:val="4A4F4589"/>
    <w:rsid w:val="4A513E5D"/>
    <w:rsid w:val="4A541B9F"/>
    <w:rsid w:val="4A58343D"/>
    <w:rsid w:val="4A5971B6"/>
    <w:rsid w:val="4A5B1180"/>
    <w:rsid w:val="4A5C1C77"/>
    <w:rsid w:val="4A5F4669"/>
    <w:rsid w:val="4A62250E"/>
    <w:rsid w:val="4A6718D3"/>
    <w:rsid w:val="4A673681"/>
    <w:rsid w:val="4A6873F9"/>
    <w:rsid w:val="4A6902EC"/>
    <w:rsid w:val="4A6A4F1F"/>
    <w:rsid w:val="4A6D0C58"/>
    <w:rsid w:val="4A6F21D0"/>
    <w:rsid w:val="4A6F4C2B"/>
    <w:rsid w:val="4A743FEF"/>
    <w:rsid w:val="4A745D9D"/>
    <w:rsid w:val="4A7D4C52"/>
    <w:rsid w:val="4A800BE6"/>
    <w:rsid w:val="4A8055D9"/>
    <w:rsid w:val="4A8204BA"/>
    <w:rsid w:val="4A821143"/>
    <w:rsid w:val="4A835FE1"/>
    <w:rsid w:val="4A851D59"/>
    <w:rsid w:val="4A857FAB"/>
    <w:rsid w:val="4A875AD1"/>
    <w:rsid w:val="4A881849"/>
    <w:rsid w:val="4A897A9B"/>
    <w:rsid w:val="4A8C30E7"/>
    <w:rsid w:val="4A8F2BD7"/>
    <w:rsid w:val="4A930987"/>
    <w:rsid w:val="4A966F56"/>
    <w:rsid w:val="4A9856E5"/>
    <w:rsid w:val="4A985F30"/>
    <w:rsid w:val="4A993A56"/>
    <w:rsid w:val="4A995804"/>
    <w:rsid w:val="4A9B5A20"/>
    <w:rsid w:val="4A9D3546"/>
    <w:rsid w:val="4A9F106C"/>
    <w:rsid w:val="4A9F72BE"/>
    <w:rsid w:val="4AA15B5C"/>
    <w:rsid w:val="4AA20B5D"/>
    <w:rsid w:val="4AA448D5"/>
    <w:rsid w:val="4AA46683"/>
    <w:rsid w:val="4AA743C5"/>
    <w:rsid w:val="4AA91EEB"/>
    <w:rsid w:val="4AAA7A11"/>
    <w:rsid w:val="4AAB17DF"/>
    <w:rsid w:val="4AAB7A8B"/>
    <w:rsid w:val="4AAE0D8B"/>
    <w:rsid w:val="4AB12B4E"/>
    <w:rsid w:val="4AB32D6A"/>
    <w:rsid w:val="4AB50890"/>
    <w:rsid w:val="4AB52F0F"/>
    <w:rsid w:val="4AB60164"/>
    <w:rsid w:val="4AB663B6"/>
    <w:rsid w:val="4AB71728"/>
    <w:rsid w:val="4ABB577A"/>
    <w:rsid w:val="4AC05487"/>
    <w:rsid w:val="4AC22FAD"/>
    <w:rsid w:val="4AC36325"/>
    <w:rsid w:val="4AC42881"/>
    <w:rsid w:val="4AC64CA6"/>
    <w:rsid w:val="4AC705C3"/>
    <w:rsid w:val="4ACA1E61"/>
    <w:rsid w:val="4ACA3C0F"/>
    <w:rsid w:val="4ACE1952"/>
    <w:rsid w:val="4ACE3700"/>
    <w:rsid w:val="4AD11442"/>
    <w:rsid w:val="4AD54A8E"/>
    <w:rsid w:val="4AD6479B"/>
    <w:rsid w:val="4AD66A58"/>
    <w:rsid w:val="4ADD7DE7"/>
    <w:rsid w:val="4ADF3B5F"/>
    <w:rsid w:val="4ADF590D"/>
    <w:rsid w:val="4AE253FD"/>
    <w:rsid w:val="4AE35524"/>
    <w:rsid w:val="4AE47726"/>
    <w:rsid w:val="4AE50A49"/>
    <w:rsid w:val="4AE52E00"/>
    <w:rsid w:val="4AE71495"/>
    <w:rsid w:val="4AE72A13"/>
    <w:rsid w:val="4AE75720"/>
    <w:rsid w:val="4AE9678B"/>
    <w:rsid w:val="4AEA6060"/>
    <w:rsid w:val="4AEB5531"/>
    <w:rsid w:val="4AEE3DA2"/>
    <w:rsid w:val="4AF07F13"/>
    <w:rsid w:val="4AF173EE"/>
    <w:rsid w:val="4AF57D24"/>
    <w:rsid w:val="4AF60EA8"/>
    <w:rsid w:val="4AF92706"/>
    <w:rsid w:val="4AFD326F"/>
    <w:rsid w:val="4B0215FB"/>
    <w:rsid w:val="4B0324B1"/>
    <w:rsid w:val="4B046206"/>
    <w:rsid w:val="4B052E99"/>
    <w:rsid w:val="4B071F90"/>
    <w:rsid w:val="4B0E1D4E"/>
    <w:rsid w:val="4B0E74FB"/>
    <w:rsid w:val="4B101F6A"/>
    <w:rsid w:val="4B125CE2"/>
    <w:rsid w:val="4B133808"/>
    <w:rsid w:val="4B1355B6"/>
    <w:rsid w:val="4B137364"/>
    <w:rsid w:val="4B14730E"/>
    <w:rsid w:val="4B1530DD"/>
    <w:rsid w:val="4B176459"/>
    <w:rsid w:val="4B1871BC"/>
    <w:rsid w:val="4B1A4B97"/>
    <w:rsid w:val="4B1B26BD"/>
    <w:rsid w:val="4B1B6587"/>
    <w:rsid w:val="4B1D01E3"/>
    <w:rsid w:val="4B1D4687"/>
    <w:rsid w:val="4B1F3F5B"/>
    <w:rsid w:val="4B215F25"/>
    <w:rsid w:val="4B222A40"/>
    <w:rsid w:val="4B223A4B"/>
    <w:rsid w:val="4B2477C4"/>
    <w:rsid w:val="4B2B2900"/>
    <w:rsid w:val="4B2B6DA4"/>
    <w:rsid w:val="4B2C6678"/>
    <w:rsid w:val="4B2E23F0"/>
    <w:rsid w:val="4B337A07"/>
    <w:rsid w:val="4B356E93"/>
    <w:rsid w:val="4B3571A2"/>
    <w:rsid w:val="4B3612A5"/>
    <w:rsid w:val="4B3814C1"/>
    <w:rsid w:val="4B38326F"/>
    <w:rsid w:val="4B396FAF"/>
    <w:rsid w:val="4B3B24B9"/>
    <w:rsid w:val="4B3D2633"/>
    <w:rsid w:val="4B3D6AD7"/>
    <w:rsid w:val="4B3E7F90"/>
    <w:rsid w:val="4B3F31DE"/>
    <w:rsid w:val="4B410375"/>
    <w:rsid w:val="4B41375A"/>
    <w:rsid w:val="4B41632B"/>
    <w:rsid w:val="4B427C4A"/>
    <w:rsid w:val="4B441C14"/>
    <w:rsid w:val="4B4420DB"/>
    <w:rsid w:val="4B4734B2"/>
    <w:rsid w:val="4B481704"/>
    <w:rsid w:val="4B494ABD"/>
    <w:rsid w:val="4B49547C"/>
    <w:rsid w:val="4B4B1FAE"/>
    <w:rsid w:val="4B4B4D50"/>
    <w:rsid w:val="4B4D6D1A"/>
    <w:rsid w:val="4B4E65EF"/>
    <w:rsid w:val="4B505C35"/>
    <w:rsid w:val="4B50680B"/>
    <w:rsid w:val="4B524331"/>
    <w:rsid w:val="4B542EFC"/>
    <w:rsid w:val="4B553E21"/>
    <w:rsid w:val="4B5736F5"/>
    <w:rsid w:val="4B582A18"/>
    <w:rsid w:val="4B5C0D0B"/>
    <w:rsid w:val="4B5C6F5D"/>
    <w:rsid w:val="4B5E0F27"/>
    <w:rsid w:val="4B616322"/>
    <w:rsid w:val="4B630235"/>
    <w:rsid w:val="4B647BC0"/>
    <w:rsid w:val="4B661B8A"/>
    <w:rsid w:val="4B6A5537"/>
    <w:rsid w:val="4B6B0F4E"/>
    <w:rsid w:val="4B6E0A3F"/>
    <w:rsid w:val="4B6E6C91"/>
    <w:rsid w:val="4B700C5B"/>
    <w:rsid w:val="4B726781"/>
    <w:rsid w:val="4B7342A7"/>
    <w:rsid w:val="4B771FE9"/>
    <w:rsid w:val="4B7778F3"/>
    <w:rsid w:val="4B78366B"/>
    <w:rsid w:val="4B7D0C82"/>
    <w:rsid w:val="4B7F49FA"/>
    <w:rsid w:val="4B8244EA"/>
    <w:rsid w:val="4B840D2C"/>
    <w:rsid w:val="4B871B00"/>
    <w:rsid w:val="4B895879"/>
    <w:rsid w:val="4B8A1D1C"/>
    <w:rsid w:val="4B8A33E0"/>
    <w:rsid w:val="4B8E2E8F"/>
    <w:rsid w:val="4B904E59"/>
    <w:rsid w:val="4B906C07"/>
    <w:rsid w:val="4B9304A5"/>
    <w:rsid w:val="4B9366F7"/>
    <w:rsid w:val="4B9745A8"/>
    <w:rsid w:val="4B986E74"/>
    <w:rsid w:val="4B9A7A86"/>
    <w:rsid w:val="4B9C37FE"/>
    <w:rsid w:val="4B9E1324"/>
    <w:rsid w:val="4B9E7576"/>
    <w:rsid w:val="4B9F6E4A"/>
    <w:rsid w:val="4BA11667"/>
    <w:rsid w:val="4BA206E8"/>
    <w:rsid w:val="4BA22BA5"/>
    <w:rsid w:val="4BA32DDE"/>
    <w:rsid w:val="4BA45417"/>
    <w:rsid w:val="4BA601D9"/>
    <w:rsid w:val="4BA70019"/>
    <w:rsid w:val="4BA7104B"/>
    <w:rsid w:val="4BA91610"/>
    <w:rsid w:val="4BAB0C88"/>
    <w:rsid w:val="4BB26B7D"/>
    <w:rsid w:val="4BB5041C"/>
    <w:rsid w:val="4BB74194"/>
    <w:rsid w:val="4BB943B0"/>
    <w:rsid w:val="4BBA0128"/>
    <w:rsid w:val="4BBC369E"/>
    <w:rsid w:val="4BBC5C4E"/>
    <w:rsid w:val="4BBE2414"/>
    <w:rsid w:val="4BBF74EC"/>
    <w:rsid w:val="4BC0573E"/>
    <w:rsid w:val="4BC114B6"/>
    <w:rsid w:val="4BC44B03"/>
    <w:rsid w:val="4BC863A1"/>
    <w:rsid w:val="4BC92119"/>
    <w:rsid w:val="4BCB2F27"/>
    <w:rsid w:val="4BCD7E5B"/>
    <w:rsid w:val="4BD177C8"/>
    <w:rsid w:val="4BD5745C"/>
    <w:rsid w:val="4BD66E16"/>
    <w:rsid w:val="4BD9235C"/>
    <w:rsid w:val="4BDC698D"/>
    <w:rsid w:val="4BDE15FA"/>
    <w:rsid w:val="4BDE7972"/>
    <w:rsid w:val="4BE13907"/>
    <w:rsid w:val="4BE27F8A"/>
    <w:rsid w:val="4BE86A43"/>
    <w:rsid w:val="4BED4059"/>
    <w:rsid w:val="4BED509D"/>
    <w:rsid w:val="4BED5E07"/>
    <w:rsid w:val="4BEF7DD1"/>
    <w:rsid w:val="4BF03B4A"/>
    <w:rsid w:val="4BF058F8"/>
    <w:rsid w:val="4BF13A1E"/>
    <w:rsid w:val="4BF4363A"/>
    <w:rsid w:val="4BF47196"/>
    <w:rsid w:val="4BF61160"/>
    <w:rsid w:val="4BF70A34"/>
    <w:rsid w:val="4BF90C50"/>
    <w:rsid w:val="4BFA0524"/>
    <w:rsid w:val="4BFF5B3B"/>
    <w:rsid w:val="4C001FDF"/>
    <w:rsid w:val="4C0118B3"/>
    <w:rsid w:val="4C011CD6"/>
    <w:rsid w:val="4C013661"/>
    <w:rsid w:val="4C017B05"/>
    <w:rsid w:val="4C03562B"/>
    <w:rsid w:val="4C0373D9"/>
    <w:rsid w:val="4C0575F5"/>
    <w:rsid w:val="4C075A4E"/>
    <w:rsid w:val="4C075C03"/>
    <w:rsid w:val="4C08248D"/>
    <w:rsid w:val="4C082C41"/>
    <w:rsid w:val="4C0A4C0B"/>
    <w:rsid w:val="4C0A69B9"/>
    <w:rsid w:val="4C0B2731"/>
    <w:rsid w:val="4C0C0983"/>
    <w:rsid w:val="4C0F2222"/>
    <w:rsid w:val="4C121D12"/>
    <w:rsid w:val="4C1248AE"/>
    <w:rsid w:val="4C126D5F"/>
    <w:rsid w:val="4C1415E6"/>
    <w:rsid w:val="4C1559E9"/>
    <w:rsid w:val="4C172E84"/>
    <w:rsid w:val="4C175738"/>
    <w:rsid w:val="4C1A4723"/>
    <w:rsid w:val="4C1C493F"/>
    <w:rsid w:val="4C1D417B"/>
    <w:rsid w:val="4C207F8B"/>
    <w:rsid w:val="4C235CCD"/>
    <w:rsid w:val="4C261319"/>
    <w:rsid w:val="4C26696E"/>
    <w:rsid w:val="4C276021"/>
    <w:rsid w:val="4C2A0E0A"/>
    <w:rsid w:val="4C2D08FA"/>
    <w:rsid w:val="4C2D26A8"/>
    <w:rsid w:val="4C2D4456"/>
    <w:rsid w:val="4C2F01CE"/>
    <w:rsid w:val="4C2F6420"/>
    <w:rsid w:val="4C312198"/>
    <w:rsid w:val="4C324162"/>
    <w:rsid w:val="4C3457E4"/>
    <w:rsid w:val="4C365750"/>
    <w:rsid w:val="4C3752D5"/>
    <w:rsid w:val="4C392DFB"/>
    <w:rsid w:val="4C39729F"/>
    <w:rsid w:val="4C3B6274"/>
    <w:rsid w:val="4C4023DB"/>
    <w:rsid w:val="4C412FEB"/>
    <w:rsid w:val="4C416153"/>
    <w:rsid w:val="4C417F01"/>
    <w:rsid w:val="4C43011D"/>
    <w:rsid w:val="4C434755"/>
    <w:rsid w:val="4C465518"/>
    <w:rsid w:val="4C4719BC"/>
    <w:rsid w:val="4C483795"/>
    <w:rsid w:val="4C4A256A"/>
    <w:rsid w:val="4C4B4116"/>
    <w:rsid w:val="4C4C6FD2"/>
    <w:rsid w:val="4C4D2D4A"/>
    <w:rsid w:val="4C4F1E34"/>
    <w:rsid w:val="4C4F261E"/>
    <w:rsid w:val="4C4F6AC2"/>
    <w:rsid w:val="4C516396"/>
    <w:rsid w:val="4C527899"/>
    <w:rsid w:val="4C537145"/>
    <w:rsid w:val="4C545E87"/>
    <w:rsid w:val="4C561BFF"/>
    <w:rsid w:val="4C5639AD"/>
    <w:rsid w:val="4C575977"/>
    <w:rsid w:val="4C583BC9"/>
    <w:rsid w:val="4C5B5467"/>
    <w:rsid w:val="4C5C2F8D"/>
    <w:rsid w:val="4C5D11DF"/>
    <w:rsid w:val="4C5F2E23"/>
    <w:rsid w:val="4C60482B"/>
    <w:rsid w:val="4C6065D9"/>
    <w:rsid w:val="4C612351"/>
    <w:rsid w:val="4C6170D2"/>
    <w:rsid w:val="4C633D3F"/>
    <w:rsid w:val="4C650094"/>
    <w:rsid w:val="4C653BF0"/>
    <w:rsid w:val="4C673E0C"/>
    <w:rsid w:val="4C681932"/>
    <w:rsid w:val="4C6A38FC"/>
    <w:rsid w:val="4C6C1422"/>
    <w:rsid w:val="4C6F0F12"/>
    <w:rsid w:val="4C6F2CC0"/>
    <w:rsid w:val="4C7105EB"/>
    <w:rsid w:val="4C72455F"/>
    <w:rsid w:val="4C746529"/>
    <w:rsid w:val="4C760341"/>
    <w:rsid w:val="4C760506"/>
    <w:rsid w:val="4C771B75"/>
    <w:rsid w:val="4C79769B"/>
    <w:rsid w:val="4C7D362F"/>
    <w:rsid w:val="4C7D5AE9"/>
    <w:rsid w:val="4C7E1155"/>
    <w:rsid w:val="4C7E4CB1"/>
    <w:rsid w:val="4C804ECE"/>
    <w:rsid w:val="4C8449BE"/>
    <w:rsid w:val="4C87000A"/>
    <w:rsid w:val="4C883D82"/>
    <w:rsid w:val="4C8A5B97"/>
    <w:rsid w:val="4C8C3872"/>
    <w:rsid w:val="4C8C73CE"/>
    <w:rsid w:val="4C8D3147"/>
    <w:rsid w:val="4C8F5111"/>
    <w:rsid w:val="4C910E89"/>
    <w:rsid w:val="4C92075D"/>
    <w:rsid w:val="4C9269AF"/>
    <w:rsid w:val="4C9444D5"/>
    <w:rsid w:val="4C9604BD"/>
    <w:rsid w:val="4C963F23"/>
    <w:rsid w:val="4C976993"/>
    <w:rsid w:val="4C982217"/>
    <w:rsid w:val="4C9A739C"/>
    <w:rsid w:val="4C9B1D07"/>
    <w:rsid w:val="4C9E35A6"/>
    <w:rsid w:val="4C9E7102"/>
    <w:rsid w:val="4CA02E7A"/>
    <w:rsid w:val="4CA24E44"/>
    <w:rsid w:val="4CA30BBC"/>
    <w:rsid w:val="4CA43DA3"/>
    <w:rsid w:val="4CA639FC"/>
    <w:rsid w:val="4CA7245A"/>
    <w:rsid w:val="4CA87F80"/>
    <w:rsid w:val="4CAA019C"/>
    <w:rsid w:val="4CAA1F4A"/>
    <w:rsid w:val="4CAE37E9"/>
    <w:rsid w:val="4CAF7775"/>
    <w:rsid w:val="4CB132D9"/>
    <w:rsid w:val="4CB156AB"/>
    <w:rsid w:val="4CB16E35"/>
    <w:rsid w:val="4CB30DFF"/>
    <w:rsid w:val="4CB360F6"/>
    <w:rsid w:val="4CB46925"/>
    <w:rsid w:val="4CB608EF"/>
    <w:rsid w:val="4CBA03DF"/>
    <w:rsid w:val="4CBB4158"/>
    <w:rsid w:val="4CBD3A2C"/>
    <w:rsid w:val="4CBE1552"/>
    <w:rsid w:val="4CC0351C"/>
    <w:rsid w:val="4CC4300C"/>
    <w:rsid w:val="4CC4707B"/>
    <w:rsid w:val="4CC5087B"/>
    <w:rsid w:val="4CC53AED"/>
    <w:rsid w:val="4CC73D9F"/>
    <w:rsid w:val="4CC823D1"/>
    <w:rsid w:val="4CCA439B"/>
    <w:rsid w:val="4CCB6C1A"/>
    <w:rsid w:val="4CCC1EC1"/>
    <w:rsid w:val="4CCD0192"/>
    <w:rsid w:val="4CD174D7"/>
    <w:rsid w:val="4CD314A1"/>
    <w:rsid w:val="4CD34FFD"/>
    <w:rsid w:val="4CD55219"/>
    <w:rsid w:val="4CD64AED"/>
    <w:rsid w:val="4CD6689C"/>
    <w:rsid w:val="4CDB2104"/>
    <w:rsid w:val="4CDB65A8"/>
    <w:rsid w:val="4CDD40CE"/>
    <w:rsid w:val="4CDD5E7C"/>
    <w:rsid w:val="4CDE39A2"/>
    <w:rsid w:val="4CDF1BF4"/>
    <w:rsid w:val="4CDF7E46"/>
    <w:rsid w:val="4CE03BBE"/>
    <w:rsid w:val="4CE11174"/>
    <w:rsid w:val="4CE27936"/>
    <w:rsid w:val="4CE36D98"/>
    <w:rsid w:val="4CE4545C"/>
    <w:rsid w:val="4CE52F83"/>
    <w:rsid w:val="4CE70AA9"/>
    <w:rsid w:val="4CEA0D96"/>
    <w:rsid w:val="4CEC4311"/>
    <w:rsid w:val="4CEC60BF"/>
    <w:rsid w:val="4CEE1E37"/>
    <w:rsid w:val="4CEF5BAF"/>
    <w:rsid w:val="4CF3744D"/>
    <w:rsid w:val="4CF51418"/>
    <w:rsid w:val="4CF84A64"/>
    <w:rsid w:val="4CFB09F8"/>
    <w:rsid w:val="4CFB4554"/>
    <w:rsid w:val="4CFF2296"/>
    <w:rsid w:val="4CFF538B"/>
    <w:rsid w:val="4D004428"/>
    <w:rsid w:val="4D007DBC"/>
    <w:rsid w:val="4D01600E"/>
    <w:rsid w:val="4D04165B"/>
    <w:rsid w:val="4D0478AD"/>
    <w:rsid w:val="4D072EF9"/>
    <w:rsid w:val="4D094EC3"/>
    <w:rsid w:val="4D0C6761"/>
    <w:rsid w:val="4D0D7B68"/>
    <w:rsid w:val="4D0E4287"/>
    <w:rsid w:val="4D0F1DAD"/>
    <w:rsid w:val="4D0F7FFF"/>
    <w:rsid w:val="4D113D78"/>
    <w:rsid w:val="4D155616"/>
    <w:rsid w:val="4D1614F4"/>
    <w:rsid w:val="4D1675E0"/>
    <w:rsid w:val="4D167942"/>
    <w:rsid w:val="4D1A0E7E"/>
    <w:rsid w:val="4D1A70D0"/>
    <w:rsid w:val="4D1C5366"/>
    <w:rsid w:val="4D1D096E"/>
    <w:rsid w:val="4D1F0243"/>
    <w:rsid w:val="4D20220D"/>
    <w:rsid w:val="4D292E6F"/>
    <w:rsid w:val="4D2A6BE7"/>
    <w:rsid w:val="4D2B3A0A"/>
    <w:rsid w:val="4D2C295F"/>
    <w:rsid w:val="4D2E0486"/>
    <w:rsid w:val="4D2E492A"/>
    <w:rsid w:val="4D2E66D8"/>
    <w:rsid w:val="4D2F41FE"/>
    <w:rsid w:val="4D302450"/>
    <w:rsid w:val="4D330B6A"/>
    <w:rsid w:val="4D331F40"/>
    <w:rsid w:val="4D371A30"/>
    <w:rsid w:val="4D3857A8"/>
    <w:rsid w:val="4D387556"/>
    <w:rsid w:val="4D3A32CE"/>
    <w:rsid w:val="4D3B0DF4"/>
    <w:rsid w:val="4D3B2BA3"/>
    <w:rsid w:val="4D3D2DBF"/>
    <w:rsid w:val="4D3D691B"/>
    <w:rsid w:val="4D3E3E4D"/>
    <w:rsid w:val="4D3F08E5"/>
    <w:rsid w:val="4D4001B9"/>
    <w:rsid w:val="4D422183"/>
    <w:rsid w:val="4D4419A1"/>
    <w:rsid w:val="4D461C73"/>
    <w:rsid w:val="4D46260B"/>
    <w:rsid w:val="4D4759EB"/>
    <w:rsid w:val="4D491763"/>
    <w:rsid w:val="4D4952BF"/>
    <w:rsid w:val="4D4B54DB"/>
    <w:rsid w:val="4D4C3ECB"/>
    <w:rsid w:val="4D4D5883"/>
    <w:rsid w:val="4D5048A0"/>
    <w:rsid w:val="4D50664E"/>
    <w:rsid w:val="4D510618"/>
    <w:rsid w:val="4D572760"/>
    <w:rsid w:val="4D573E80"/>
    <w:rsid w:val="4D587BF8"/>
    <w:rsid w:val="4D59577F"/>
    <w:rsid w:val="4D5D520F"/>
    <w:rsid w:val="4D5F0F87"/>
    <w:rsid w:val="4D61085B"/>
    <w:rsid w:val="4D6614CB"/>
    <w:rsid w:val="4D664345"/>
    <w:rsid w:val="4D665E71"/>
    <w:rsid w:val="4D673998"/>
    <w:rsid w:val="4D677E3B"/>
    <w:rsid w:val="4D6A6664"/>
    <w:rsid w:val="4D6B16DA"/>
    <w:rsid w:val="4D6B792C"/>
    <w:rsid w:val="4D6C0BAC"/>
    <w:rsid w:val="4D6C0FAE"/>
    <w:rsid w:val="4D6D4946"/>
    <w:rsid w:val="4D6E4D26"/>
    <w:rsid w:val="4D73058E"/>
    <w:rsid w:val="4D7762D0"/>
    <w:rsid w:val="4D777400"/>
    <w:rsid w:val="4D783DF7"/>
    <w:rsid w:val="4D785BA5"/>
    <w:rsid w:val="4D7B47A8"/>
    <w:rsid w:val="4D7C06A1"/>
    <w:rsid w:val="4D7D31BB"/>
    <w:rsid w:val="4D7F5185"/>
    <w:rsid w:val="4D826A23"/>
    <w:rsid w:val="4D8409ED"/>
    <w:rsid w:val="4D84279B"/>
    <w:rsid w:val="4D8602C2"/>
    <w:rsid w:val="4D875DE8"/>
    <w:rsid w:val="4D881740"/>
    <w:rsid w:val="4D891B60"/>
    <w:rsid w:val="4D8B55C5"/>
    <w:rsid w:val="4D8B58D8"/>
    <w:rsid w:val="4D8C1563"/>
    <w:rsid w:val="4D8C33FE"/>
    <w:rsid w:val="4D8E7176"/>
    <w:rsid w:val="4D8E7CE0"/>
    <w:rsid w:val="4D902EEE"/>
    <w:rsid w:val="4D904369"/>
    <w:rsid w:val="4D913E48"/>
    <w:rsid w:val="4D9329DF"/>
    <w:rsid w:val="4D93478D"/>
    <w:rsid w:val="4D9549A9"/>
    <w:rsid w:val="4D9626D8"/>
    <w:rsid w:val="4D9724CF"/>
    <w:rsid w:val="4D987FF5"/>
    <w:rsid w:val="4D994499"/>
    <w:rsid w:val="4D9A5B1B"/>
    <w:rsid w:val="4D9C5D37"/>
    <w:rsid w:val="4D9D385D"/>
    <w:rsid w:val="4D9E1AAF"/>
    <w:rsid w:val="4D9F3131"/>
    <w:rsid w:val="4DA0550D"/>
    <w:rsid w:val="4DA1334D"/>
    <w:rsid w:val="4DA30E74"/>
    <w:rsid w:val="4DA370C6"/>
    <w:rsid w:val="4DA44BEC"/>
    <w:rsid w:val="4DA60964"/>
    <w:rsid w:val="4DA62712"/>
    <w:rsid w:val="4DA846DC"/>
    <w:rsid w:val="4DA92202"/>
    <w:rsid w:val="4DA929B3"/>
    <w:rsid w:val="4DAA6834"/>
    <w:rsid w:val="4DAB1AD6"/>
    <w:rsid w:val="4DAB41CC"/>
    <w:rsid w:val="4DAB5F7A"/>
    <w:rsid w:val="4DAD1CF2"/>
    <w:rsid w:val="4DAE5A6A"/>
    <w:rsid w:val="4DB017E2"/>
    <w:rsid w:val="4DB03590"/>
    <w:rsid w:val="4DB049C0"/>
    <w:rsid w:val="4DB36BDD"/>
    <w:rsid w:val="4DB56DF9"/>
    <w:rsid w:val="4DB7438A"/>
    <w:rsid w:val="4DB82445"/>
    <w:rsid w:val="4DBC0707"/>
    <w:rsid w:val="4DBD7A5B"/>
    <w:rsid w:val="4DBE5CAD"/>
    <w:rsid w:val="4DBF1A26"/>
    <w:rsid w:val="4DBF5582"/>
    <w:rsid w:val="4DC134BA"/>
    <w:rsid w:val="4DC15335"/>
    <w:rsid w:val="4DC1579E"/>
    <w:rsid w:val="4DC31516"/>
    <w:rsid w:val="4DC332C4"/>
    <w:rsid w:val="4DC40DEA"/>
    <w:rsid w:val="4DC42B98"/>
    <w:rsid w:val="4DC617B7"/>
    <w:rsid w:val="4DC62DB4"/>
    <w:rsid w:val="4DC94652"/>
    <w:rsid w:val="4DC967FE"/>
    <w:rsid w:val="4DCA28A4"/>
    <w:rsid w:val="4DCF5FFB"/>
    <w:rsid w:val="4DD17574"/>
    <w:rsid w:val="4DD21759"/>
    <w:rsid w:val="4DD23507"/>
    <w:rsid w:val="4DD76D6F"/>
    <w:rsid w:val="4DD86643"/>
    <w:rsid w:val="4DD92AE7"/>
    <w:rsid w:val="4DD94895"/>
    <w:rsid w:val="4DDA060D"/>
    <w:rsid w:val="4DDE7A3E"/>
    <w:rsid w:val="4DDF5C24"/>
    <w:rsid w:val="4DDF79D2"/>
    <w:rsid w:val="4DE03227"/>
    <w:rsid w:val="4DE1199C"/>
    <w:rsid w:val="4DE33966"/>
    <w:rsid w:val="4DE35714"/>
    <w:rsid w:val="4DE4323A"/>
    <w:rsid w:val="4DE4410A"/>
    <w:rsid w:val="4DE561D0"/>
    <w:rsid w:val="4DEA6AA2"/>
    <w:rsid w:val="4DEB00F1"/>
    <w:rsid w:val="4DEE5E67"/>
    <w:rsid w:val="4DEF230B"/>
    <w:rsid w:val="4DEF40B9"/>
    <w:rsid w:val="4DF0398D"/>
    <w:rsid w:val="4DF0744A"/>
    <w:rsid w:val="4DF2316E"/>
    <w:rsid w:val="4DF55447"/>
    <w:rsid w:val="4DF705E5"/>
    <w:rsid w:val="4DF72F6D"/>
    <w:rsid w:val="4DF93E1A"/>
    <w:rsid w:val="4E014268"/>
    <w:rsid w:val="4E015B9A"/>
    <w:rsid w:val="4E023B58"/>
    <w:rsid w:val="4E031912"/>
    <w:rsid w:val="4E04568A"/>
    <w:rsid w:val="4E047438"/>
    <w:rsid w:val="4E056021"/>
    <w:rsid w:val="4E092CA1"/>
    <w:rsid w:val="4E0A0EF3"/>
    <w:rsid w:val="4E0F143D"/>
    <w:rsid w:val="4E10402F"/>
    <w:rsid w:val="4E105DDD"/>
    <w:rsid w:val="4E125E21"/>
    <w:rsid w:val="4E125FF9"/>
    <w:rsid w:val="4E166204"/>
    <w:rsid w:val="4E1C4782"/>
    <w:rsid w:val="4E1C7094"/>
    <w:rsid w:val="4E1D662B"/>
    <w:rsid w:val="4E1E674C"/>
    <w:rsid w:val="4E21443A"/>
    <w:rsid w:val="4E232079"/>
    <w:rsid w:val="4E235B10"/>
    <w:rsid w:val="4E296E9F"/>
    <w:rsid w:val="4E2B2C17"/>
    <w:rsid w:val="4E2F2707"/>
    <w:rsid w:val="4E30022D"/>
    <w:rsid w:val="4E30647F"/>
    <w:rsid w:val="4E323096"/>
    <w:rsid w:val="4E323FA5"/>
    <w:rsid w:val="4E353158"/>
    <w:rsid w:val="4E361CE8"/>
    <w:rsid w:val="4E375A60"/>
    <w:rsid w:val="4E37780E"/>
    <w:rsid w:val="4E393586"/>
    <w:rsid w:val="4E3B72FE"/>
    <w:rsid w:val="4E3C3076"/>
    <w:rsid w:val="4E3F66C2"/>
    <w:rsid w:val="4E3F7DE0"/>
    <w:rsid w:val="4E402B66"/>
    <w:rsid w:val="4E404914"/>
    <w:rsid w:val="4E4116FB"/>
    <w:rsid w:val="4E485577"/>
    <w:rsid w:val="4E497D56"/>
    <w:rsid w:val="4E4B5067"/>
    <w:rsid w:val="4E4C150B"/>
    <w:rsid w:val="4E4D0DDF"/>
    <w:rsid w:val="4E4E35AB"/>
    <w:rsid w:val="4E4F2DA9"/>
    <w:rsid w:val="4E5111F0"/>
    <w:rsid w:val="4E5401B4"/>
    <w:rsid w:val="4E55147F"/>
    <w:rsid w:val="4E573921"/>
    <w:rsid w:val="4E5A52AA"/>
    <w:rsid w:val="4E5B174E"/>
    <w:rsid w:val="4E5C7274"/>
    <w:rsid w:val="4E5E123E"/>
    <w:rsid w:val="4E5F37F4"/>
    <w:rsid w:val="4E661F86"/>
    <w:rsid w:val="4E6673B5"/>
    <w:rsid w:val="4E685C19"/>
    <w:rsid w:val="4E6A1991"/>
    <w:rsid w:val="4E6A373F"/>
    <w:rsid w:val="4E6D1482"/>
    <w:rsid w:val="4E6F32E9"/>
    <w:rsid w:val="4E6F36A5"/>
    <w:rsid w:val="4E6F37AF"/>
    <w:rsid w:val="4E720846"/>
    <w:rsid w:val="4E747792"/>
    <w:rsid w:val="4E775E5C"/>
    <w:rsid w:val="4E78294C"/>
    <w:rsid w:val="4E7B17E5"/>
    <w:rsid w:val="4E7B4F3A"/>
    <w:rsid w:val="4E7B594C"/>
    <w:rsid w:val="4E7F169D"/>
    <w:rsid w:val="4E7F7A2B"/>
    <w:rsid w:val="4E8056FE"/>
    <w:rsid w:val="4E807407"/>
    <w:rsid w:val="4E830CA5"/>
    <w:rsid w:val="4E85550F"/>
    <w:rsid w:val="4E8642F1"/>
    <w:rsid w:val="4E870795"/>
    <w:rsid w:val="4E8A2033"/>
    <w:rsid w:val="4E8C5C1B"/>
    <w:rsid w:val="4E8D38D2"/>
    <w:rsid w:val="4E8E7D02"/>
    <w:rsid w:val="4E8F13F8"/>
    <w:rsid w:val="4E9051F3"/>
    <w:rsid w:val="4E9133C2"/>
    <w:rsid w:val="4E920EE8"/>
    <w:rsid w:val="4E93713A"/>
    <w:rsid w:val="4E946BA6"/>
    <w:rsid w:val="4E9609D8"/>
    <w:rsid w:val="4E9764FE"/>
    <w:rsid w:val="4E983985"/>
    <w:rsid w:val="4E9904C8"/>
    <w:rsid w:val="4E9B7D9D"/>
    <w:rsid w:val="4E9C58C3"/>
    <w:rsid w:val="4E9D1D67"/>
    <w:rsid w:val="4E9F7546"/>
    <w:rsid w:val="4EA2112B"/>
    <w:rsid w:val="4EA50C1B"/>
    <w:rsid w:val="4EA529C9"/>
    <w:rsid w:val="4EA604F0"/>
    <w:rsid w:val="4EA67DA2"/>
    <w:rsid w:val="4EA74993"/>
    <w:rsid w:val="4EA81D39"/>
    <w:rsid w:val="4EA824BA"/>
    <w:rsid w:val="4EAA4484"/>
    <w:rsid w:val="4EAA7FE0"/>
    <w:rsid w:val="4EAD157E"/>
    <w:rsid w:val="4EAD66A3"/>
    <w:rsid w:val="4EAF3848"/>
    <w:rsid w:val="4EB1136E"/>
    <w:rsid w:val="4EB3058D"/>
    <w:rsid w:val="4EB42C0C"/>
    <w:rsid w:val="4EB470B0"/>
    <w:rsid w:val="4EB64BD7"/>
    <w:rsid w:val="4EB726FD"/>
    <w:rsid w:val="4EBB043F"/>
    <w:rsid w:val="4EBB3F9B"/>
    <w:rsid w:val="4EBD5F65"/>
    <w:rsid w:val="4EC05A55"/>
    <w:rsid w:val="4EC07FC0"/>
    <w:rsid w:val="4EC549CB"/>
    <w:rsid w:val="4EC7492C"/>
    <w:rsid w:val="4ECA0682"/>
    <w:rsid w:val="4ECA2430"/>
    <w:rsid w:val="4ECC61A8"/>
    <w:rsid w:val="4ECC7F56"/>
    <w:rsid w:val="4ECD3CCE"/>
    <w:rsid w:val="4ECF5C98"/>
    <w:rsid w:val="4ED05C90"/>
    <w:rsid w:val="4ED11A10"/>
    <w:rsid w:val="4ED17C62"/>
    <w:rsid w:val="4ED223D5"/>
    <w:rsid w:val="4ED35788"/>
    <w:rsid w:val="4ED63927"/>
    <w:rsid w:val="4ED67027"/>
    <w:rsid w:val="4ED82D9F"/>
    <w:rsid w:val="4ED84B4D"/>
    <w:rsid w:val="4ED876D7"/>
    <w:rsid w:val="4ED908C5"/>
    <w:rsid w:val="4EDB288F"/>
    <w:rsid w:val="4EDD6607"/>
    <w:rsid w:val="4EDE412D"/>
    <w:rsid w:val="4EDE5EDB"/>
    <w:rsid w:val="4EDF237F"/>
    <w:rsid w:val="4EE03A01"/>
    <w:rsid w:val="4EE05E69"/>
    <w:rsid w:val="4EE07EA5"/>
    <w:rsid w:val="4EE2777A"/>
    <w:rsid w:val="4EE334F2"/>
    <w:rsid w:val="4EE74D90"/>
    <w:rsid w:val="4EEA2AD2"/>
    <w:rsid w:val="4EED611E"/>
    <w:rsid w:val="4EEE4370"/>
    <w:rsid w:val="4EEF1E97"/>
    <w:rsid w:val="4EEF1EC7"/>
    <w:rsid w:val="4EF179BD"/>
    <w:rsid w:val="4EF37BD9"/>
    <w:rsid w:val="4EF456FF"/>
    <w:rsid w:val="4EF474AD"/>
    <w:rsid w:val="4EF676C9"/>
    <w:rsid w:val="4EF94AC3"/>
    <w:rsid w:val="4EFA2D21"/>
    <w:rsid w:val="4EFD0A57"/>
    <w:rsid w:val="4EFD45B3"/>
    <w:rsid w:val="4EFD7144"/>
    <w:rsid w:val="4EFE032C"/>
    <w:rsid w:val="4EFE20DA"/>
    <w:rsid w:val="4EFE7F61"/>
    <w:rsid w:val="4F001CBF"/>
    <w:rsid w:val="4F0040A4"/>
    <w:rsid w:val="4F005E52"/>
    <w:rsid w:val="4F02606E"/>
    <w:rsid w:val="4F043B94"/>
    <w:rsid w:val="4F045263"/>
    <w:rsid w:val="4F0771E0"/>
    <w:rsid w:val="4F082F58"/>
    <w:rsid w:val="4F0A0A7E"/>
    <w:rsid w:val="4F0C2A48"/>
    <w:rsid w:val="4F0F2539"/>
    <w:rsid w:val="4F1109F2"/>
    <w:rsid w:val="4F1338C8"/>
    <w:rsid w:val="4F18763F"/>
    <w:rsid w:val="4F1A33B7"/>
    <w:rsid w:val="4F1E452A"/>
    <w:rsid w:val="4F1F3FB3"/>
    <w:rsid w:val="4F2064F4"/>
    <w:rsid w:val="4F2204BE"/>
    <w:rsid w:val="4F22226C"/>
    <w:rsid w:val="4F22401A"/>
    <w:rsid w:val="4F253B0A"/>
    <w:rsid w:val="4F277882"/>
    <w:rsid w:val="4F2935FA"/>
    <w:rsid w:val="4F2C6C47"/>
    <w:rsid w:val="4F2E0C11"/>
    <w:rsid w:val="4F2E58FF"/>
    <w:rsid w:val="4F302DF0"/>
    <w:rsid w:val="4F310701"/>
    <w:rsid w:val="4F33776D"/>
    <w:rsid w:val="4F337FD5"/>
    <w:rsid w:val="4F352BA9"/>
    <w:rsid w:val="4F3A5808"/>
    <w:rsid w:val="4F3B332E"/>
    <w:rsid w:val="4F3D3F5C"/>
    <w:rsid w:val="4F3D70A6"/>
    <w:rsid w:val="4F3F2E1E"/>
    <w:rsid w:val="4F3F4BCC"/>
    <w:rsid w:val="4F410E9B"/>
    <w:rsid w:val="4F42290E"/>
    <w:rsid w:val="4F4246BC"/>
    <w:rsid w:val="4F460F98"/>
    <w:rsid w:val="4F4641AC"/>
    <w:rsid w:val="4F471CD3"/>
    <w:rsid w:val="4F477BE7"/>
    <w:rsid w:val="4F4950D8"/>
    <w:rsid w:val="4F4A531F"/>
    <w:rsid w:val="4F4C1097"/>
    <w:rsid w:val="4F4C5C58"/>
    <w:rsid w:val="4F4E4E0F"/>
    <w:rsid w:val="4F5145AF"/>
    <w:rsid w:val="4F5166AD"/>
    <w:rsid w:val="4F521799"/>
    <w:rsid w:val="4F524CFA"/>
    <w:rsid w:val="4F532425"/>
    <w:rsid w:val="4F5368C9"/>
    <w:rsid w:val="4F5543EF"/>
    <w:rsid w:val="4F563CC4"/>
    <w:rsid w:val="4F56624C"/>
    <w:rsid w:val="4F585C8E"/>
    <w:rsid w:val="4F594BCD"/>
    <w:rsid w:val="4F5B1A36"/>
    <w:rsid w:val="4F5B577E"/>
    <w:rsid w:val="4F5B752C"/>
    <w:rsid w:val="4F5F701C"/>
    <w:rsid w:val="4F624D5E"/>
    <w:rsid w:val="4F6273C0"/>
    <w:rsid w:val="4F6351A5"/>
    <w:rsid w:val="4F642884"/>
    <w:rsid w:val="4F644633"/>
    <w:rsid w:val="4F672375"/>
    <w:rsid w:val="4F674123"/>
    <w:rsid w:val="4F6B6FE2"/>
    <w:rsid w:val="4F6C1739"/>
    <w:rsid w:val="4F6E725F"/>
    <w:rsid w:val="4F717B38"/>
    <w:rsid w:val="4F7417D5"/>
    <w:rsid w:val="4F74239C"/>
    <w:rsid w:val="4F781E8C"/>
    <w:rsid w:val="4F786330"/>
    <w:rsid w:val="4F7A3E56"/>
    <w:rsid w:val="4F7C1F7D"/>
    <w:rsid w:val="4F7D56F4"/>
    <w:rsid w:val="4F802315"/>
    <w:rsid w:val="4F813436"/>
    <w:rsid w:val="4F815A58"/>
    <w:rsid w:val="4F820F5D"/>
    <w:rsid w:val="4F824AB9"/>
    <w:rsid w:val="4F860A4D"/>
    <w:rsid w:val="4F8627FB"/>
    <w:rsid w:val="4F893200"/>
    <w:rsid w:val="4F89799A"/>
    <w:rsid w:val="4F8B4779"/>
    <w:rsid w:val="4F8B7E11"/>
    <w:rsid w:val="4F8C0F11"/>
    <w:rsid w:val="4F8C3B89"/>
    <w:rsid w:val="4F8C5937"/>
    <w:rsid w:val="4F8E7901"/>
    <w:rsid w:val="4F9111A0"/>
    <w:rsid w:val="4F952A3E"/>
    <w:rsid w:val="4F9547EC"/>
    <w:rsid w:val="4F9A091F"/>
    <w:rsid w:val="4F9B372A"/>
    <w:rsid w:val="4F9D5D96"/>
    <w:rsid w:val="4F9F38BD"/>
    <w:rsid w:val="4F9F566B"/>
    <w:rsid w:val="4FA113E3"/>
    <w:rsid w:val="4FA17635"/>
    <w:rsid w:val="4FA233AD"/>
    <w:rsid w:val="4FA26F09"/>
    <w:rsid w:val="4FA64C4B"/>
    <w:rsid w:val="4FA709C3"/>
    <w:rsid w:val="4FA90297"/>
    <w:rsid w:val="4FA9473B"/>
    <w:rsid w:val="4FAB4475"/>
    <w:rsid w:val="4FAC5905"/>
    <w:rsid w:val="4FAD5FDA"/>
    <w:rsid w:val="4FB01626"/>
    <w:rsid w:val="4FB04CDC"/>
    <w:rsid w:val="4FB07891"/>
    <w:rsid w:val="4FB21842"/>
    <w:rsid w:val="4FB235F0"/>
    <w:rsid w:val="4FB355BA"/>
    <w:rsid w:val="4FB569B7"/>
    <w:rsid w:val="4FB629B4"/>
    <w:rsid w:val="4FB76E58"/>
    <w:rsid w:val="4FB8672C"/>
    <w:rsid w:val="4FBA24A4"/>
    <w:rsid w:val="4FBA3171"/>
    <w:rsid w:val="4FBA6948"/>
    <w:rsid w:val="4FBC446F"/>
    <w:rsid w:val="4FBE01E7"/>
    <w:rsid w:val="4FBF79A9"/>
    <w:rsid w:val="4FBF7ABB"/>
    <w:rsid w:val="4FC11A85"/>
    <w:rsid w:val="4FC20091"/>
    <w:rsid w:val="4FC53CC7"/>
    <w:rsid w:val="4FC926E8"/>
    <w:rsid w:val="4FC96B8B"/>
    <w:rsid w:val="4FCB46B2"/>
    <w:rsid w:val="4FCD042A"/>
    <w:rsid w:val="4FCE6B88"/>
    <w:rsid w:val="4FD23C92"/>
    <w:rsid w:val="4FD25A40"/>
    <w:rsid w:val="4FD317B8"/>
    <w:rsid w:val="4FD5108C"/>
    <w:rsid w:val="4FD712A8"/>
    <w:rsid w:val="4FD93710"/>
    <w:rsid w:val="4FDD1AD8"/>
    <w:rsid w:val="4FDD1DD6"/>
    <w:rsid w:val="4FDD4733"/>
    <w:rsid w:val="4FDD6193"/>
    <w:rsid w:val="4FE17A31"/>
    <w:rsid w:val="4FE614EB"/>
    <w:rsid w:val="4FE65048"/>
    <w:rsid w:val="4FE811D3"/>
    <w:rsid w:val="4FE8244D"/>
    <w:rsid w:val="4FE92D8A"/>
    <w:rsid w:val="4FEB08B0"/>
    <w:rsid w:val="4FEE65F2"/>
    <w:rsid w:val="4FF27E90"/>
    <w:rsid w:val="4FF43C08"/>
    <w:rsid w:val="4FF534DD"/>
    <w:rsid w:val="4FF57980"/>
    <w:rsid w:val="4FF65C6A"/>
    <w:rsid w:val="4FF84D7B"/>
    <w:rsid w:val="4FF9121F"/>
    <w:rsid w:val="4FFA6D45"/>
    <w:rsid w:val="4FFC0D0F"/>
    <w:rsid w:val="4FFC486B"/>
    <w:rsid w:val="4FFF25AD"/>
    <w:rsid w:val="50011E81"/>
    <w:rsid w:val="50025BF9"/>
    <w:rsid w:val="50033E4B"/>
    <w:rsid w:val="500424AF"/>
    <w:rsid w:val="50047BC4"/>
    <w:rsid w:val="5006393C"/>
    <w:rsid w:val="5008118B"/>
    <w:rsid w:val="500E35FE"/>
    <w:rsid w:val="500E459E"/>
    <w:rsid w:val="500E45F0"/>
    <w:rsid w:val="500F0A42"/>
    <w:rsid w:val="50111D35"/>
    <w:rsid w:val="50111EE2"/>
    <w:rsid w:val="50137E07"/>
    <w:rsid w:val="501778F7"/>
    <w:rsid w:val="5019541D"/>
    <w:rsid w:val="501D717B"/>
    <w:rsid w:val="501E52BF"/>
    <w:rsid w:val="501F46C7"/>
    <w:rsid w:val="50212524"/>
    <w:rsid w:val="50212FC0"/>
    <w:rsid w:val="50213118"/>
    <w:rsid w:val="502344EE"/>
    <w:rsid w:val="502913D8"/>
    <w:rsid w:val="502B5150"/>
    <w:rsid w:val="502B6EFE"/>
    <w:rsid w:val="502E6618"/>
    <w:rsid w:val="50302767"/>
    <w:rsid w:val="50306C0B"/>
    <w:rsid w:val="50324731"/>
    <w:rsid w:val="503264DF"/>
    <w:rsid w:val="5033552D"/>
    <w:rsid w:val="50357D7D"/>
    <w:rsid w:val="503A35E5"/>
    <w:rsid w:val="503E30D6"/>
    <w:rsid w:val="503F0BFC"/>
    <w:rsid w:val="503F29AA"/>
    <w:rsid w:val="50406E4E"/>
    <w:rsid w:val="504306EC"/>
    <w:rsid w:val="50454464"/>
    <w:rsid w:val="50461F8A"/>
    <w:rsid w:val="5047059D"/>
    <w:rsid w:val="50492324"/>
    <w:rsid w:val="504A1A7A"/>
    <w:rsid w:val="504A7CCC"/>
    <w:rsid w:val="504C214F"/>
    <w:rsid w:val="504C63A6"/>
    <w:rsid w:val="504E494E"/>
    <w:rsid w:val="504F7091"/>
    <w:rsid w:val="50507B72"/>
    <w:rsid w:val="5051105B"/>
    <w:rsid w:val="50517375"/>
    <w:rsid w:val="5052092F"/>
    <w:rsid w:val="50521F46"/>
    <w:rsid w:val="50591CBD"/>
    <w:rsid w:val="505A1F60"/>
    <w:rsid w:val="505A77E4"/>
    <w:rsid w:val="505B3C87"/>
    <w:rsid w:val="505E1C29"/>
    <w:rsid w:val="505E72D4"/>
    <w:rsid w:val="50616DC4"/>
    <w:rsid w:val="50632B3C"/>
    <w:rsid w:val="506557EA"/>
    <w:rsid w:val="50660FDB"/>
    <w:rsid w:val="5066724F"/>
    <w:rsid w:val="50680152"/>
    <w:rsid w:val="50696D3C"/>
    <w:rsid w:val="50697A27"/>
    <w:rsid w:val="506A3ECB"/>
    <w:rsid w:val="506A5C79"/>
    <w:rsid w:val="506B3FDC"/>
    <w:rsid w:val="506B7C43"/>
    <w:rsid w:val="506F14E1"/>
    <w:rsid w:val="50700DB5"/>
    <w:rsid w:val="50713D8D"/>
    <w:rsid w:val="50715259"/>
    <w:rsid w:val="50722D7F"/>
    <w:rsid w:val="507408A5"/>
    <w:rsid w:val="50760AC1"/>
    <w:rsid w:val="507C3BFE"/>
    <w:rsid w:val="507C775A"/>
    <w:rsid w:val="507E1724"/>
    <w:rsid w:val="507E34D2"/>
    <w:rsid w:val="50827466"/>
    <w:rsid w:val="50830AE8"/>
    <w:rsid w:val="50854860"/>
    <w:rsid w:val="50854DD4"/>
    <w:rsid w:val="508807F5"/>
    <w:rsid w:val="508A1E77"/>
    <w:rsid w:val="508B5BEF"/>
    <w:rsid w:val="508F56DF"/>
    <w:rsid w:val="508F5F4A"/>
    <w:rsid w:val="50903205"/>
    <w:rsid w:val="5090545C"/>
    <w:rsid w:val="509203FA"/>
    <w:rsid w:val="50923421"/>
    <w:rsid w:val="50926B99"/>
    <w:rsid w:val="50926F7D"/>
    <w:rsid w:val="50940F47"/>
    <w:rsid w:val="50963E85"/>
    <w:rsid w:val="50966A6E"/>
    <w:rsid w:val="5099655E"/>
    <w:rsid w:val="509C1BAA"/>
    <w:rsid w:val="509C305B"/>
    <w:rsid w:val="509E1DC6"/>
    <w:rsid w:val="509E3B74"/>
    <w:rsid w:val="50A02E6C"/>
    <w:rsid w:val="50A078EC"/>
    <w:rsid w:val="50A15412"/>
    <w:rsid w:val="50A160CB"/>
    <w:rsid w:val="50A54F03"/>
    <w:rsid w:val="50A70C7B"/>
    <w:rsid w:val="50A76ECD"/>
    <w:rsid w:val="50A82C45"/>
    <w:rsid w:val="50A849F3"/>
    <w:rsid w:val="50A867A1"/>
    <w:rsid w:val="50AA42C7"/>
    <w:rsid w:val="50AD025B"/>
    <w:rsid w:val="50AD2009"/>
    <w:rsid w:val="50AF5D81"/>
    <w:rsid w:val="50B02961"/>
    <w:rsid w:val="50B05655"/>
    <w:rsid w:val="50B11220"/>
    <w:rsid w:val="50B24608"/>
    <w:rsid w:val="50B27620"/>
    <w:rsid w:val="50B37E52"/>
    <w:rsid w:val="50B52C6C"/>
    <w:rsid w:val="50B74C36"/>
    <w:rsid w:val="50B757D2"/>
    <w:rsid w:val="50BB64D4"/>
    <w:rsid w:val="50BC224C"/>
    <w:rsid w:val="50BE5FC4"/>
    <w:rsid w:val="50BE7D72"/>
    <w:rsid w:val="50C01D3C"/>
    <w:rsid w:val="50C51101"/>
    <w:rsid w:val="50C64E79"/>
    <w:rsid w:val="50C80BF1"/>
    <w:rsid w:val="50C8299F"/>
    <w:rsid w:val="50CA7DE7"/>
    <w:rsid w:val="50CC6933"/>
    <w:rsid w:val="50CD128E"/>
    <w:rsid w:val="50CD4459"/>
    <w:rsid w:val="50CF1F80"/>
    <w:rsid w:val="50D1080A"/>
    <w:rsid w:val="50D11C9A"/>
    <w:rsid w:val="50D13F4A"/>
    <w:rsid w:val="50D17AA6"/>
    <w:rsid w:val="50D2381E"/>
    <w:rsid w:val="50D47596"/>
    <w:rsid w:val="50D61560"/>
    <w:rsid w:val="50D61AAB"/>
    <w:rsid w:val="50D92DFE"/>
    <w:rsid w:val="50D94BAC"/>
    <w:rsid w:val="50DB448D"/>
    <w:rsid w:val="50DD469C"/>
    <w:rsid w:val="50E21CB3"/>
    <w:rsid w:val="50E357F0"/>
    <w:rsid w:val="50E35A2B"/>
    <w:rsid w:val="50E51193"/>
    <w:rsid w:val="50E517A3"/>
    <w:rsid w:val="50E6454A"/>
    <w:rsid w:val="50E84DEF"/>
    <w:rsid w:val="50EA0B67"/>
    <w:rsid w:val="50EB4D07"/>
    <w:rsid w:val="50EC0D83"/>
    <w:rsid w:val="50EF617E"/>
    <w:rsid w:val="50F10148"/>
    <w:rsid w:val="50F33BA4"/>
    <w:rsid w:val="50F419E6"/>
    <w:rsid w:val="50F45034"/>
    <w:rsid w:val="50F61095"/>
    <w:rsid w:val="50F934A0"/>
    <w:rsid w:val="50FD6AED"/>
    <w:rsid w:val="50FE0AB7"/>
    <w:rsid w:val="50FE2865"/>
    <w:rsid w:val="5100038B"/>
    <w:rsid w:val="5101379B"/>
    <w:rsid w:val="51022355"/>
    <w:rsid w:val="51024103"/>
    <w:rsid w:val="510319F7"/>
    <w:rsid w:val="51051E45"/>
    <w:rsid w:val="510734C7"/>
    <w:rsid w:val="51080F9B"/>
    <w:rsid w:val="51085492"/>
    <w:rsid w:val="51087240"/>
    <w:rsid w:val="510A120A"/>
    <w:rsid w:val="510A2FB8"/>
    <w:rsid w:val="510A3162"/>
    <w:rsid w:val="510C6D30"/>
    <w:rsid w:val="510D1493"/>
    <w:rsid w:val="510D4856"/>
    <w:rsid w:val="511019EE"/>
    <w:rsid w:val="511038F0"/>
    <w:rsid w:val="51112598"/>
    <w:rsid w:val="51121E6C"/>
    <w:rsid w:val="51155195"/>
    <w:rsid w:val="51155AAE"/>
    <w:rsid w:val="51167000"/>
    <w:rsid w:val="51172F9F"/>
    <w:rsid w:val="511931FB"/>
    <w:rsid w:val="5119769F"/>
    <w:rsid w:val="511A58F1"/>
    <w:rsid w:val="511B1920"/>
    <w:rsid w:val="511D0F3D"/>
    <w:rsid w:val="511D2CEB"/>
    <w:rsid w:val="511E4CB5"/>
    <w:rsid w:val="51200A2D"/>
    <w:rsid w:val="51213F31"/>
    <w:rsid w:val="512231FA"/>
    <w:rsid w:val="51244113"/>
    <w:rsid w:val="51252566"/>
    <w:rsid w:val="51255F55"/>
    <w:rsid w:val="51256043"/>
    <w:rsid w:val="51262BC5"/>
    <w:rsid w:val="5126542F"/>
    <w:rsid w:val="51273B6A"/>
    <w:rsid w:val="512978E2"/>
    <w:rsid w:val="512A18AC"/>
    <w:rsid w:val="512C1375"/>
    <w:rsid w:val="512C2F2E"/>
    <w:rsid w:val="512D51C5"/>
    <w:rsid w:val="512E314A"/>
    <w:rsid w:val="512F7372"/>
    <w:rsid w:val="513149E8"/>
    <w:rsid w:val="513169AE"/>
    <w:rsid w:val="51327BA7"/>
    <w:rsid w:val="51330760"/>
    <w:rsid w:val="5133250E"/>
    <w:rsid w:val="51347B3B"/>
    <w:rsid w:val="51360251"/>
    <w:rsid w:val="51361FFF"/>
    <w:rsid w:val="51363DAD"/>
    <w:rsid w:val="513D15DF"/>
    <w:rsid w:val="513D513B"/>
    <w:rsid w:val="513E2C61"/>
    <w:rsid w:val="51402E7D"/>
    <w:rsid w:val="51422D42"/>
    <w:rsid w:val="51426BF5"/>
    <w:rsid w:val="5144085B"/>
    <w:rsid w:val="5144296E"/>
    <w:rsid w:val="5147093D"/>
    <w:rsid w:val="514B72BE"/>
    <w:rsid w:val="514C1822"/>
    <w:rsid w:val="514C72EB"/>
    <w:rsid w:val="514E559A"/>
    <w:rsid w:val="5153495F"/>
    <w:rsid w:val="515406D7"/>
    <w:rsid w:val="51542485"/>
    <w:rsid w:val="51545631"/>
    <w:rsid w:val="51556929"/>
    <w:rsid w:val="5156444F"/>
    <w:rsid w:val="515661FD"/>
    <w:rsid w:val="51581F75"/>
    <w:rsid w:val="51595CED"/>
    <w:rsid w:val="515A3F3F"/>
    <w:rsid w:val="515E50B1"/>
    <w:rsid w:val="515F1555"/>
    <w:rsid w:val="515F3303"/>
    <w:rsid w:val="5160707C"/>
    <w:rsid w:val="516114E4"/>
    <w:rsid w:val="516155BC"/>
    <w:rsid w:val="51630116"/>
    <w:rsid w:val="51646B6C"/>
    <w:rsid w:val="51656440"/>
    <w:rsid w:val="516656CF"/>
    <w:rsid w:val="516A7EFA"/>
    <w:rsid w:val="516C3C72"/>
    <w:rsid w:val="516C5A20"/>
    <w:rsid w:val="51705511"/>
    <w:rsid w:val="51707B49"/>
    <w:rsid w:val="51713037"/>
    <w:rsid w:val="517174DB"/>
    <w:rsid w:val="51750D79"/>
    <w:rsid w:val="5175252B"/>
    <w:rsid w:val="517A638F"/>
    <w:rsid w:val="517A66F7"/>
    <w:rsid w:val="517C0CBD"/>
    <w:rsid w:val="517C60EC"/>
    <w:rsid w:val="518014CC"/>
    <w:rsid w:val="51815F11"/>
    <w:rsid w:val="5182713F"/>
    <w:rsid w:val="51840FBC"/>
    <w:rsid w:val="51844B18"/>
    <w:rsid w:val="5184720E"/>
    <w:rsid w:val="51870AAC"/>
    <w:rsid w:val="518A40F8"/>
    <w:rsid w:val="518B234A"/>
    <w:rsid w:val="518B68B4"/>
    <w:rsid w:val="518D64DB"/>
    <w:rsid w:val="518E5997"/>
    <w:rsid w:val="51907961"/>
    <w:rsid w:val="519311FF"/>
    <w:rsid w:val="51932FAD"/>
    <w:rsid w:val="51962A9D"/>
    <w:rsid w:val="51986815"/>
    <w:rsid w:val="519D5BAE"/>
    <w:rsid w:val="519E7FF6"/>
    <w:rsid w:val="51A056CA"/>
    <w:rsid w:val="51A11B6E"/>
    <w:rsid w:val="51A451BA"/>
    <w:rsid w:val="51A46F68"/>
    <w:rsid w:val="51A74CAA"/>
    <w:rsid w:val="51AB6549"/>
    <w:rsid w:val="51AC698D"/>
    <w:rsid w:val="51B01DB1"/>
    <w:rsid w:val="51B03B5F"/>
    <w:rsid w:val="51B318A1"/>
    <w:rsid w:val="51B353FD"/>
    <w:rsid w:val="51B51175"/>
    <w:rsid w:val="51B64EEE"/>
    <w:rsid w:val="51B7313F"/>
    <w:rsid w:val="51B93483"/>
    <w:rsid w:val="51BA2C30"/>
    <w:rsid w:val="51BA49DE"/>
    <w:rsid w:val="51BB2504"/>
    <w:rsid w:val="51BC69A8"/>
    <w:rsid w:val="51BD002A"/>
    <w:rsid w:val="51BF3DA2"/>
    <w:rsid w:val="51BF7BAC"/>
    <w:rsid w:val="51C23892"/>
    <w:rsid w:val="51C25640"/>
    <w:rsid w:val="51C770FB"/>
    <w:rsid w:val="51C92E73"/>
    <w:rsid w:val="51C94C21"/>
    <w:rsid w:val="51CB2747"/>
    <w:rsid w:val="51CB6BEB"/>
    <w:rsid w:val="51CC4711"/>
    <w:rsid w:val="51CF7D67"/>
    <w:rsid w:val="51D07D5D"/>
    <w:rsid w:val="51D114A4"/>
    <w:rsid w:val="51D11D27"/>
    <w:rsid w:val="51D15A56"/>
    <w:rsid w:val="51D320A3"/>
    <w:rsid w:val="51D3784E"/>
    <w:rsid w:val="51D41662"/>
    <w:rsid w:val="51DA0BDC"/>
    <w:rsid w:val="51DB6702"/>
    <w:rsid w:val="51DC16DA"/>
    <w:rsid w:val="51DC2BA6"/>
    <w:rsid w:val="51DD691E"/>
    <w:rsid w:val="51E11F6A"/>
    <w:rsid w:val="51E23E3F"/>
    <w:rsid w:val="51E25CE3"/>
    <w:rsid w:val="51E41A5B"/>
    <w:rsid w:val="51E43809"/>
    <w:rsid w:val="51E657D3"/>
    <w:rsid w:val="51E7154B"/>
    <w:rsid w:val="51E732F9"/>
    <w:rsid w:val="51E97071"/>
    <w:rsid w:val="51EC0F1C"/>
    <w:rsid w:val="51EE0B2B"/>
    <w:rsid w:val="51EE4687"/>
    <w:rsid w:val="51EF789D"/>
    <w:rsid w:val="51F003FF"/>
    <w:rsid w:val="51F223CA"/>
    <w:rsid w:val="51F36142"/>
    <w:rsid w:val="51F37EF0"/>
    <w:rsid w:val="51F53C68"/>
    <w:rsid w:val="51F55A16"/>
    <w:rsid w:val="51F577C4"/>
    <w:rsid w:val="51F7178E"/>
    <w:rsid w:val="51FA74D0"/>
    <w:rsid w:val="51FE2432"/>
    <w:rsid w:val="51FF0643"/>
    <w:rsid w:val="51FF4AE6"/>
    <w:rsid w:val="51FF6894"/>
    <w:rsid w:val="5201085F"/>
    <w:rsid w:val="5201260D"/>
    <w:rsid w:val="52067C23"/>
    <w:rsid w:val="52077265"/>
    <w:rsid w:val="520774F7"/>
    <w:rsid w:val="520914C1"/>
    <w:rsid w:val="520A3291"/>
    <w:rsid w:val="520A5BE6"/>
    <w:rsid w:val="520E0886"/>
    <w:rsid w:val="52120376"/>
    <w:rsid w:val="52151C14"/>
    <w:rsid w:val="52173BDE"/>
    <w:rsid w:val="52181704"/>
    <w:rsid w:val="52187956"/>
    <w:rsid w:val="521A1920"/>
    <w:rsid w:val="521A547C"/>
    <w:rsid w:val="521D2B8D"/>
    <w:rsid w:val="521E2410"/>
    <w:rsid w:val="522105B9"/>
    <w:rsid w:val="52214A5D"/>
    <w:rsid w:val="522221F9"/>
    <w:rsid w:val="522602C5"/>
    <w:rsid w:val="52262073"/>
    <w:rsid w:val="52291B63"/>
    <w:rsid w:val="522B58DB"/>
    <w:rsid w:val="522D1654"/>
    <w:rsid w:val="522D51B0"/>
    <w:rsid w:val="522E0F28"/>
    <w:rsid w:val="522E717A"/>
    <w:rsid w:val="52304CA0"/>
    <w:rsid w:val="523429E2"/>
    <w:rsid w:val="523522B6"/>
    <w:rsid w:val="52377DDC"/>
    <w:rsid w:val="52383B54"/>
    <w:rsid w:val="52397FF8"/>
    <w:rsid w:val="523F3135"/>
    <w:rsid w:val="523F4EE3"/>
    <w:rsid w:val="52426781"/>
    <w:rsid w:val="52466271"/>
    <w:rsid w:val="52481FEA"/>
    <w:rsid w:val="52483D98"/>
    <w:rsid w:val="52497B10"/>
    <w:rsid w:val="52500E9E"/>
    <w:rsid w:val="525070F0"/>
    <w:rsid w:val="52522E68"/>
    <w:rsid w:val="5252352D"/>
    <w:rsid w:val="5253273C"/>
    <w:rsid w:val="5254412B"/>
    <w:rsid w:val="52552958"/>
    <w:rsid w:val="52554706"/>
    <w:rsid w:val="5257047F"/>
    <w:rsid w:val="5257222D"/>
    <w:rsid w:val="52592449"/>
    <w:rsid w:val="525C3CE7"/>
    <w:rsid w:val="525E180D"/>
    <w:rsid w:val="525E2434"/>
    <w:rsid w:val="525F0C01"/>
    <w:rsid w:val="525F10E1"/>
    <w:rsid w:val="52621911"/>
    <w:rsid w:val="52635075"/>
    <w:rsid w:val="52642199"/>
    <w:rsid w:val="526910A0"/>
    <w:rsid w:val="526D37FE"/>
    <w:rsid w:val="526E7576"/>
    <w:rsid w:val="52701540"/>
    <w:rsid w:val="527032EE"/>
    <w:rsid w:val="5272350A"/>
    <w:rsid w:val="5273460B"/>
    <w:rsid w:val="52741030"/>
    <w:rsid w:val="52750905"/>
    <w:rsid w:val="52770B21"/>
    <w:rsid w:val="52796647"/>
    <w:rsid w:val="527B6CAF"/>
    <w:rsid w:val="527C6137"/>
    <w:rsid w:val="527D47C7"/>
    <w:rsid w:val="527E1EAF"/>
    <w:rsid w:val="527F3531"/>
    <w:rsid w:val="52804E7B"/>
    <w:rsid w:val="52812ED5"/>
    <w:rsid w:val="528154FB"/>
    <w:rsid w:val="52833022"/>
    <w:rsid w:val="528374C6"/>
    <w:rsid w:val="5285323E"/>
    <w:rsid w:val="52884ADC"/>
    <w:rsid w:val="5288688A"/>
    <w:rsid w:val="528943B0"/>
    <w:rsid w:val="528D3EA0"/>
    <w:rsid w:val="528F1410"/>
    <w:rsid w:val="528F19C6"/>
    <w:rsid w:val="52900EEF"/>
    <w:rsid w:val="52927709"/>
    <w:rsid w:val="52946FDD"/>
    <w:rsid w:val="52952D55"/>
    <w:rsid w:val="52972F71"/>
    <w:rsid w:val="529B3185"/>
    <w:rsid w:val="529E47AA"/>
    <w:rsid w:val="529E60AD"/>
    <w:rsid w:val="529F5982"/>
    <w:rsid w:val="52A01E26"/>
    <w:rsid w:val="52A35472"/>
    <w:rsid w:val="52A511EA"/>
    <w:rsid w:val="52A82A88"/>
    <w:rsid w:val="52AA2CA4"/>
    <w:rsid w:val="52AF2069"/>
    <w:rsid w:val="52B23907"/>
    <w:rsid w:val="52B24B47"/>
    <w:rsid w:val="52B753C1"/>
    <w:rsid w:val="52B82387"/>
    <w:rsid w:val="52BA32D9"/>
    <w:rsid w:val="52BB6C5F"/>
    <w:rsid w:val="52BB733A"/>
    <w:rsid w:val="52BE04FE"/>
    <w:rsid w:val="52BE30EA"/>
    <w:rsid w:val="52BF7DD2"/>
    <w:rsid w:val="52C04276"/>
    <w:rsid w:val="52C13B25"/>
    <w:rsid w:val="52C33D66"/>
    <w:rsid w:val="52C5188C"/>
    <w:rsid w:val="52C673B2"/>
    <w:rsid w:val="52C7058C"/>
    <w:rsid w:val="52C75604"/>
    <w:rsid w:val="52C76699"/>
    <w:rsid w:val="52C97C12"/>
    <w:rsid w:val="52CA29FF"/>
    <w:rsid w:val="52CA50F4"/>
    <w:rsid w:val="52CC2C1B"/>
    <w:rsid w:val="52CD0741"/>
    <w:rsid w:val="52CF270B"/>
    <w:rsid w:val="52CF6267"/>
    <w:rsid w:val="52D11560"/>
    <w:rsid w:val="52D27B05"/>
    <w:rsid w:val="52D4387D"/>
    <w:rsid w:val="52D47EAB"/>
    <w:rsid w:val="52D61371"/>
    <w:rsid w:val="52D626E9"/>
    <w:rsid w:val="52D675F5"/>
    <w:rsid w:val="52D7511B"/>
    <w:rsid w:val="52D928C3"/>
    <w:rsid w:val="52D93E52"/>
    <w:rsid w:val="52D95337"/>
    <w:rsid w:val="52DA377C"/>
    <w:rsid w:val="52DC5653"/>
    <w:rsid w:val="52DC6BD6"/>
    <w:rsid w:val="52E00CEC"/>
    <w:rsid w:val="52E20057"/>
    <w:rsid w:val="52E350B6"/>
    <w:rsid w:val="52E55A8A"/>
    <w:rsid w:val="52E57838"/>
    <w:rsid w:val="52E635B0"/>
    <w:rsid w:val="52E837CD"/>
    <w:rsid w:val="52E8557B"/>
    <w:rsid w:val="52EB0BC7"/>
    <w:rsid w:val="52EC33C3"/>
    <w:rsid w:val="52ED2B91"/>
    <w:rsid w:val="52ED493F"/>
    <w:rsid w:val="52F12681"/>
    <w:rsid w:val="52F156CD"/>
    <w:rsid w:val="52F4603B"/>
    <w:rsid w:val="52F61A46"/>
    <w:rsid w:val="52F91536"/>
    <w:rsid w:val="52FA4256"/>
    <w:rsid w:val="53004672"/>
    <w:rsid w:val="530103EA"/>
    <w:rsid w:val="53043E75"/>
    <w:rsid w:val="5304402B"/>
    <w:rsid w:val="53051C89"/>
    <w:rsid w:val="53065A01"/>
    <w:rsid w:val="53073C53"/>
    <w:rsid w:val="53083527"/>
    <w:rsid w:val="530D6D8F"/>
    <w:rsid w:val="530E3233"/>
    <w:rsid w:val="530F6FAB"/>
    <w:rsid w:val="53101AD7"/>
    <w:rsid w:val="5311062D"/>
    <w:rsid w:val="53136C8E"/>
    <w:rsid w:val="53157440"/>
    <w:rsid w:val="531620E8"/>
    <w:rsid w:val="53167C94"/>
    <w:rsid w:val="53195734"/>
    <w:rsid w:val="531B5950"/>
    <w:rsid w:val="531D5224"/>
    <w:rsid w:val="53226CDE"/>
    <w:rsid w:val="5325057D"/>
    <w:rsid w:val="5325232B"/>
    <w:rsid w:val="532540D9"/>
    <w:rsid w:val="532742F5"/>
    <w:rsid w:val="53281E1B"/>
    <w:rsid w:val="532A0CDB"/>
    <w:rsid w:val="532A16EF"/>
    <w:rsid w:val="532A5B93"/>
    <w:rsid w:val="532C36B9"/>
    <w:rsid w:val="532D4A8B"/>
    <w:rsid w:val="532F28FC"/>
    <w:rsid w:val="53312A7E"/>
    <w:rsid w:val="53316F22"/>
    <w:rsid w:val="533267F6"/>
    <w:rsid w:val="533407C0"/>
    <w:rsid w:val="5334431C"/>
    <w:rsid w:val="533646AD"/>
    <w:rsid w:val="53373E0C"/>
    <w:rsid w:val="533802B0"/>
    <w:rsid w:val="53381B9E"/>
    <w:rsid w:val="533860E5"/>
    <w:rsid w:val="5339476F"/>
    <w:rsid w:val="53397B84"/>
    <w:rsid w:val="533B1B4E"/>
    <w:rsid w:val="533B38FC"/>
    <w:rsid w:val="533D58C6"/>
    <w:rsid w:val="53427C80"/>
    <w:rsid w:val="534529CD"/>
    <w:rsid w:val="53486019"/>
    <w:rsid w:val="53487DC7"/>
    <w:rsid w:val="534B6B84"/>
    <w:rsid w:val="534C3D5B"/>
    <w:rsid w:val="534C78B7"/>
    <w:rsid w:val="534E7AD3"/>
    <w:rsid w:val="534F1156"/>
    <w:rsid w:val="53530C46"/>
    <w:rsid w:val="535350EA"/>
    <w:rsid w:val="535624E4"/>
    <w:rsid w:val="53563C96"/>
    <w:rsid w:val="5356597F"/>
    <w:rsid w:val="535844AE"/>
    <w:rsid w:val="535C3096"/>
    <w:rsid w:val="535D1AC5"/>
    <w:rsid w:val="535E7368"/>
    <w:rsid w:val="535E75EB"/>
    <w:rsid w:val="53620E89"/>
    <w:rsid w:val="53623A52"/>
    <w:rsid w:val="536270DB"/>
    <w:rsid w:val="53636327"/>
    <w:rsid w:val="53670B95"/>
    <w:rsid w:val="53672943"/>
    <w:rsid w:val="536C61AC"/>
    <w:rsid w:val="536C7F5A"/>
    <w:rsid w:val="537137C2"/>
    <w:rsid w:val="53715570"/>
    <w:rsid w:val="5371731E"/>
    <w:rsid w:val="5373753A"/>
    <w:rsid w:val="53760DD8"/>
    <w:rsid w:val="53792400"/>
    <w:rsid w:val="537B019D"/>
    <w:rsid w:val="537D2167"/>
    <w:rsid w:val="537D3F15"/>
    <w:rsid w:val="538057B3"/>
    <w:rsid w:val="53807561"/>
    <w:rsid w:val="53834143"/>
    <w:rsid w:val="53862715"/>
    <w:rsid w:val="5386726D"/>
    <w:rsid w:val="538708F0"/>
    <w:rsid w:val="53874D93"/>
    <w:rsid w:val="53875695"/>
    <w:rsid w:val="53876B42"/>
    <w:rsid w:val="538A5B0B"/>
    <w:rsid w:val="538C5F06"/>
    <w:rsid w:val="538F3C48"/>
    <w:rsid w:val="5391176E"/>
    <w:rsid w:val="539179C0"/>
    <w:rsid w:val="5394125E"/>
    <w:rsid w:val="53946809"/>
    <w:rsid w:val="539574B0"/>
    <w:rsid w:val="53984ED9"/>
    <w:rsid w:val="53990623"/>
    <w:rsid w:val="539A6875"/>
    <w:rsid w:val="539B1FD4"/>
    <w:rsid w:val="539B5400"/>
    <w:rsid w:val="539D0113"/>
    <w:rsid w:val="539F3E8B"/>
    <w:rsid w:val="53A0797D"/>
    <w:rsid w:val="53A07C03"/>
    <w:rsid w:val="53A26D18"/>
    <w:rsid w:val="53A5346C"/>
    <w:rsid w:val="53A54A39"/>
    <w:rsid w:val="53A61FCB"/>
    <w:rsid w:val="53A70F92"/>
    <w:rsid w:val="53A72D40"/>
    <w:rsid w:val="53A92F5C"/>
    <w:rsid w:val="53A94D0A"/>
    <w:rsid w:val="53B10062"/>
    <w:rsid w:val="53B13BBE"/>
    <w:rsid w:val="53B37937"/>
    <w:rsid w:val="53B459D2"/>
    <w:rsid w:val="53B51901"/>
    <w:rsid w:val="53B65679"/>
    <w:rsid w:val="53B67427"/>
    <w:rsid w:val="53B83207"/>
    <w:rsid w:val="53B86CFB"/>
    <w:rsid w:val="53B92A73"/>
    <w:rsid w:val="53BD2563"/>
    <w:rsid w:val="53BD406A"/>
    <w:rsid w:val="53BF452D"/>
    <w:rsid w:val="53BF62DB"/>
    <w:rsid w:val="53C02053"/>
    <w:rsid w:val="53C0215B"/>
    <w:rsid w:val="53C140E5"/>
    <w:rsid w:val="53C27B7A"/>
    <w:rsid w:val="53C30726"/>
    <w:rsid w:val="53C41B44"/>
    <w:rsid w:val="53C51418"/>
    <w:rsid w:val="53C733E2"/>
    <w:rsid w:val="53CC27A6"/>
    <w:rsid w:val="53CC2939"/>
    <w:rsid w:val="53CC67DD"/>
    <w:rsid w:val="53CD71B7"/>
    <w:rsid w:val="53CE651E"/>
    <w:rsid w:val="53D02297"/>
    <w:rsid w:val="53D12D4D"/>
    <w:rsid w:val="53D14261"/>
    <w:rsid w:val="53D1600F"/>
    <w:rsid w:val="53D17DBD"/>
    <w:rsid w:val="53D53D51"/>
    <w:rsid w:val="53D8114B"/>
    <w:rsid w:val="53DA1367"/>
    <w:rsid w:val="53DA3115"/>
    <w:rsid w:val="53DB785D"/>
    <w:rsid w:val="53DC50DF"/>
    <w:rsid w:val="53DD0E57"/>
    <w:rsid w:val="53DD2C05"/>
    <w:rsid w:val="53DE791F"/>
    <w:rsid w:val="53E051BF"/>
    <w:rsid w:val="53E2021C"/>
    <w:rsid w:val="53E43F94"/>
    <w:rsid w:val="53E45634"/>
    <w:rsid w:val="53E47AF0"/>
    <w:rsid w:val="53EA0E7E"/>
    <w:rsid w:val="53EB5322"/>
    <w:rsid w:val="53EE108C"/>
    <w:rsid w:val="53F005F3"/>
    <w:rsid w:val="53F00B8B"/>
    <w:rsid w:val="53F1220D"/>
    <w:rsid w:val="53F32429"/>
    <w:rsid w:val="53F341D7"/>
    <w:rsid w:val="53F53A19"/>
    <w:rsid w:val="53F561A1"/>
    <w:rsid w:val="53F57F4F"/>
    <w:rsid w:val="53F65A75"/>
    <w:rsid w:val="53F65BA6"/>
    <w:rsid w:val="53FA37B7"/>
    <w:rsid w:val="53FA5565"/>
    <w:rsid w:val="540000E8"/>
    <w:rsid w:val="540208BE"/>
    <w:rsid w:val="54040192"/>
    <w:rsid w:val="540463E4"/>
    <w:rsid w:val="54065CB8"/>
    <w:rsid w:val="54085ED4"/>
    <w:rsid w:val="54091C4C"/>
    <w:rsid w:val="540A4CC2"/>
    <w:rsid w:val="540B7773"/>
    <w:rsid w:val="540C4451"/>
    <w:rsid w:val="540D34EB"/>
    <w:rsid w:val="540E2DBF"/>
    <w:rsid w:val="5411465D"/>
    <w:rsid w:val="54120B01"/>
    <w:rsid w:val="541303D5"/>
    <w:rsid w:val="5415414D"/>
    <w:rsid w:val="54177EC5"/>
    <w:rsid w:val="54187B75"/>
    <w:rsid w:val="54187D2B"/>
    <w:rsid w:val="5419426E"/>
    <w:rsid w:val="541A1764"/>
    <w:rsid w:val="541A4865"/>
    <w:rsid w:val="541A5C08"/>
    <w:rsid w:val="541C1980"/>
    <w:rsid w:val="541C78C1"/>
    <w:rsid w:val="541D3002"/>
    <w:rsid w:val="541E2C15"/>
    <w:rsid w:val="541F321E"/>
    <w:rsid w:val="54210B62"/>
    <w:rsid w:val="54210D44"/>
    <w:rsid w:val="54216F96"/>
    <w:rsid w:val="542720D3"/>
    <w:rsid w:val="542A1C14"/>
    <w:rsid w:val="542B7096"/>
    <w:rsid w:val="542D1CD6"/>
    <w:rsid w:val="542E3461"/>
    <w:rsid w:val="54300F87"/>
    <w:rsid w:val="54310A6E"/>
    <w:rsid w:val="54316AAD"/>
    <w:rsid w:val="54322F51"/>
    <w:rsid w:val="54324CFF"/>
    <w:rsid w:val="54352A41"/>
    <w:rsid w:val="5435497A"/>
    <w:rsid w:val="5435659E"/>
    <w:rsid w:val="54360404"/>
    <w:rsid w:val="54384218"/>
    <w:rsid w:val="5438608E"/>
    <w:rsid w:val="543A3BB4"/>
    <w:rsid w:val="543C16DA"/>
    <w:rsid w:val="543F566E"/>
    <w:rsid w:val="543F741C"/>
    <w:rsid w:val="54422A68"/>
    <w:rsid w:val="54435882"/>
    <w:rsid w:val="54444A33"/>
    <w:rsid w:val="5444625D"/>
    <w:rsid w:val="54464F28"/>
    <w:rsid w:val="544762D1"/>
    <w:rsid w:val="5449029B"/>
    <w:rsid w:val="54493DF7"/>
    <w:rsid w:val="5449519D"/>
    <w:rsid w:val="544B4013"/>
    <w:rsid w:val="544B7B6F"/>
    <w:rsid w:val="544D38E7"/>
    <w:rsid w:val="5455279C"/>
    <w:rsid w:val="54576514"/>
    <w:rsid w:val="545804DE"/>
    <w:rsid w:val="5458228C"/>
    <w:rsid w:val="545D78A2"/>
    <w:rsid w:val="545F186C"/>
    <w:rsid w:val="546155E5"/>
    <w:rsid w:val="54617393"/>
    <w:rsid w:val="54624EB9"/>
    <w:rsid w:val="5463135D"/>
    <w:rsid w:val="54640C31"/>
    <w:rsid w:val="54680721"/>
    <w:rsid w:val="54684BC5"/>
    <w:rsid w:val="546A7F01"/>
    <w:rsid w:val="546B6463"/>
    <w:rsid w:val="546D3F89"/>
    <w:rsid w:val="54714BDF"/>
    <w:rsid w:val="5471702F"/>
    <w:rsid w:val="54726F7A"/>
    <w:rsid w:val="547277F2"/>
    <w:rsid w:val="547370C6"/>
    <w:rsid w:val="54745318"/>
    <w:rsid w:val="547806F9"/>
    <w:rsid w:val="547846DC"/>
    <w:rsid w:val="547C241E"/>
    <w:rsid w:val="547C41CC"/>
    <w:rsid w:val="547E7F44"/>
    <w:rsid w:val="547F54C2"/>
    <w:rsid w:val="548117E3"/>
    <w:rsid w:val="54812C33"/>
    <w:rsid w:val="54813591"/>
    <w:rsid w:val="5482532E"/>
    <w:rsid w:val="54837309"/>
    <w:rsid w:val="5485022E"/>
    <w:rsid w:val="54857525"/>
    <w:rsid w:val="54893D42"/>
    <w:rsid w:val="548C31C2"/>
    <w:rsid w:val="548D226F"/>
    <w:rsid w:val="548D462B"/>
    <w:rsid w:val="548E3F00"/>
    <w:rsid w:val="548E5CAE"/>
    <w:rsid w:val="548F2152"/>
    <w:rsid w:val="549332C4"/>
    <w:rsid w:val="549459BA"/>
    <w:rsid w:val="549534E0"/>
    <w:rsid w:val="5495528E"/>
    <w:rsid w:val="5495703C"/>
    <w:rsid w:val="54994CF6"/>
    <w:rsid w:val="54996B2C"/>
    <w:rsid w:val="549A4653"/>
    <w:rsid w:val="549C03CB"/>
    <w:rsid w:val="549C486F"/>
    <w:rsid w:val="549D4B07"/>
    <w:rsid w:val="549F610D"/>
    <w:rsid w:val="54A0435F"/>
    <w:rsid w:val="54A11E85"/>
    <w:rsid w:val="54A274E9"/>
    <w:rsid w:val="54A31759"/>
    <w:rsid w:val="54A656ED"/>
    <w:rsid w:val="54A6749B"/>
    <w:rsid w:val="54A84FC1"/>
    <w:rsid w:val="54A92AE8"/>
    <w:rsid w:val="54AD082A"/>
    <w:rsid w:val="54AD4386"/>
    <w:rsid w:val="54AD6A7C"/>
    <w:rsid w:val="54AE00FE"/>
    <w:rsid w:val="54AF45A2"/>
    <w:rsid w:val="54AF5068"/>
    <w:rsid w:val="54B0031A"/>
    <w:rsid w:val="54B01AED"/>
    <w:rsid w:val="54B020C8"/>
    <w:rsid w:val="54B03E76"/>
    <w:rsid w:val="54B12F7D"/>
    <w:rsid w:val="54B17344"/>
    <w:rsid w:val="54B24092"/>
    <w:rsid w:val="54B576DE"/>
    <w:rsid w:val="54B8170F"/>
    <w:rsid w:val="54BF230B"/>
    <w:rsid w:val="54C142D5"/>
    <w:rsid w:val="54C33BA9"/>
    <w:rsid w:val="54C53DC5"/>
    <w:rsid w:val="54C55B73"/>
    <w:rsid w:val="54C65448"/>
    <w:rsid w:val="54C73B0D"/>
    <w:rsid w:val="54C91C49"/>
    <w:rsid w:val="54C94F38"/>
    <w:rsid w:val="54CD2C7A"/>
    <w:rsid w:val="54CF69F2"/>
    <w:rsid w:val="54D47B64"/>
    <w:rsid w:val="54D67D81"/>
    <w:rsid w:val="54D73556"/>
    <w:rsid w:val="54D73AF9"/>
    <w:rsid w:val="54D933CD"/>
    <w:rsid w:val="54D9517B"/>
    <w:rsid w:val="54DF48B9"/>
    <w:rsid w:val="54E0475B"/>
    <w:rsid w:val="54E104D3"/>
    <w:rsid w:val="54E3424B"/>
    <w:rsid w:val="54E4729B"/>
    <w:rsid w:val="54E56216"/>
    <w:rsid w:val="54E63D3C"/>
    <w:rsid w:val="54E83610"/>
    <w:rsid w:val="54E979F3"/>
    <w:rsid w:val="54EA03CE"/>
    <w:rsid w:val="54EA382C"/>
    <w:rsid w:val="54EA7388"/>
    <w:rsid w:val="54EB4EAE"/>
    <w:rsid w:val="54ED6E78"/>
    <w:rsid w:val="54F41FB5"/>
    <w:rsid w:val="54F616B0"/>
    <w:rsid w:val="54F71AA5"/>
    <w:rsid w:val="54FC70BB"/>
    <w:rsid w:val="55005333"/>
    <w:rsid w:val="55012924"/>
    <w:rsid w:val="550146D2"/>
    <w:rsid w:val="550348EE"/>
    <w:rsid w:val="550444A6"/>
    <w:rsid w:val="550541C2"/>
    <w:rsid w:val="55055F70"/>
    <w:rsid w:val="55061CE8"/>
    <w:rsid w:val="55067A64"/>
    <w:rsid w:val="55085A60"/>
    <w:rsid w:val="550A17D8"/>
    <w:rsid w:val="550B5550"/>
    <w:rsid w:val="550D64A7"/>
    <w:rsid w:val="550D751A"/>
    <w:rsid w:val="550F6DEF"/>
    <w:rsid w:val="55144405"/>
    <w:rsid w:val="55164621"/>
    <w:rsid w:val="551835BA"/>
    <w:rsid w:val="55197C6D"/>
    <w:rsid w:val="551B414B"/>
    <w:rsid w:val="551C775D"/>
    <w:rsid w:val="551E1E45"/>
    <w:rsid w:val="551E34D6"/>
    <w:rsid w:val="55214D74"/>
    <w:rsid w:val="55216B22"/>
    <w:rsid w:val="55236D3E"/>
    <w:rsid w:val="552503C0"/>
    <w:rsid w:val="55254864"/>
    <w:rsid w:val="552704DE"/>
    <w:rsid w:val="55296F88"/>
    <w:rsid w:val="552C5BF2"/>
    <w:rsid w:val="552D196B"/>
    <w:rsid w:val="552D2D4B"/>
    <w:rsid w:val="552D3719"/>
    <w:rsid w:val="552D54C7"/>
    <w:rsid w:val="552F56E3"/>
    <w:rsid w:val="55306D65"/>
    <w:rsid w:val="55326F81"/>
    <w:rsid w:val="55342CF9"/>
    <w:rsid w:val="55344AA7"/>
    <w:rsid w:val="55353C11"/>
    <w:rsid w:val="55357863"/>
    <w:rsid w:val="55357F85"/>
    <w:rsid w:val="553920BD"/>
    <w:rsid w:val="55393E6B"/>
    <w:rsid w:val="553B4087"/>
    <w:rsid w:val="553C395C"/>
    <w:rsid w:val="553D7E00"/>
    <w:rsid w:val="553E76D4"/>
    <w:rsid w:val="554271C4"/>
    <w:rsid w:val="55436A98"/>
    <w:rsid w:val="55447CDF"/>
    <w:rsid w:val="55456CB4"/>
    <w:rsid w:val="554B5B7F"/>
    <w:rsid w:val="554B73AC"/>
    <w:rsid w:val="554D5B69"/>
    <w:rsid w:val="554E244F"/>
    <w:rsid w:val="554F18E1"/>
    <w:rsid w:val="554F368F"/>
    <w:rsid w:val="55500B7A"/>
    <w:rsid w:val="55515659"/>
    <w:rsid w:val="5552317F"/>
    <w:rsid w:val="55524F2D"/>
    <w:rsid w:val="55540CA5"/>
    <w:rsid w:val="55562C6F"/>
    <w:rsid w:val="55564A1D"/>
    <w:rsid w:val="55570796"/>
    <w:rsid w:val="55572544"/>
    <w:rsid w:val="555869E7"/>
    <w:rsid w:val="555B0286"/>
    <w:rsid w:val="555B07C2"/>
    <w:rsid w:val="555B2034"/>
    <w:rsid w:val="555C085E"/>
    <w:rsid w:val="555C7B5A"/>
    <w:rsid w:val="555D2250"/>
    <w:rsid w:val="555E38D2"/>
    <w:rsid w:val="555E7D76"/>
    <w:rsid w:val="556233C2"/>
    <w:rsid w:val="55630EE8"/>
    <w:rsid w:val="55652EB2"/>
    <w:rsid w:val="55674E7D"/>
    <w:rsid w:val="556829A3"/>
    <w:rsid w:val="556A04C9"/>
    <w:rsid w:val="556C7815"/>
    <w:rsid w:val="556E4789"/>
    <w:rsid w:val="556F1F83"/>
    <w:rsid w:val="556F3D31"/>
    <w:rsid w:val="556F62E0"/>
    <w:rsid w:val="55705593"/>
    <w:rsid w:val="5572737D"/>
    <w:rsid w:val="55727854"/>
    <w:rsid w:val="55733821"/>
    <w:rsid w:val="55733F14"/>
    <w:rsid w:val="55735B09"/>
    <w:rsid w:val="55747599"/>
    <w:rsid w:val="55760C1C"/>
    <w:rsid w:val="55766E6E"/>
    <w:rsid w:val="55780E38"/>
    <w:rsid w:val="5579070C"/>
    <w:rsid w:val="5579695E"/>
    <w:rsid w:val="557B26D6"/>
    <w:rsid w:val="557E5D22"/>
    <w:rsid w:val="55825812"/>
    <w:rsid w:val="558318CB"/>
    <w:rsid w:val="55833A09"/>
    <w:rsid w:val="55886BA1"/>
    <w:rsid w:val="558A0EE7"/>
    <w:rsid w:val="558A2919"/>
    <w:rsid w:val="558A46C7"/>
    <w:rsid w:val="558E2409"/>
    <w:rsid w:val="55914FEE"/>
    <w:rsid w:val="559612BE"/>
    <w:rsid w:val="55990DAE"/>
    <w:rsid w:val="55992B5C"/>
    <w:rsid w:val="559B0682"/>
    <w:rsid w:val="559C353C"/>
    <w:rsid w:val="559D43FA"/>
    <w:rsid w:val="559E0172"/>
    <w:rsid w:val="559E5792"/>
    <w:rsid w:val="559F4616"/>
    <w:rsid w:val="55A51501"/>
    <w:rsid w:val="55A77192"/>
    <w:rsid w:val="55A97243"/>
    <w:rsid w:val="55AF2380"/>
    <w:rsid w:val="55AF412E"/>
    <w:rsid w:val="55B300C2"/>
    <w:rsid w:val="55B47996"/>
    <w:rsid w:val="55B55BE8"/>
    <w:rsid w:val="55B6370E"/>
    <w:rsid w:val="55B728F9"/>
    <w:rsid w:val="55B94FAC"/>
    <w:rsid w:val="55BA127A"/>
    <w:rsid w:val="55BB270A"/>
    <w:rsid w:val="55BC3B9A"/>
    <w:rsid w:val="55BD2CEE"/>
    <w:rsid w:val="55BD4A9D"/>
    <w:rsid w:val="55BD502A"/>
    <w:rsid w:val="55BF6A67"/>
    <w:rsid w:val="55C027DF"/>
    <w:rsid w:val="55C461B2"/>
    <w:rsid w:val="55C53951"/>
    <w:rsid w:val="55C7591B"/>
    <w:rsid w:val="55C951EF"/>
    <w:rsid w:val="55CA5A69"/>
    <w:rsid w:val="55CC1183"/>
    <w:rsid w:val="55CC2F32"/>
    <w:rsid w:val="55D10548"/>
    <w:rsid w:val="55D41DE6"/>
    <w:rsid w:val="55D50038"/>
    <w:rsid w:val="55DA73FC"/>
    <w:rsid w:val="55DB3175"/>
    <w:rsid w:val="55DB4F23"/>
    <w:rsid w:val="55DD0C9B"/>
    <w:rsid w:val="55DF4A13"/>
    <w:rsid w:val="55E01B05"/>
    <w:rsid w:val="55E02539"/>
    <w:rsid w:val="55E62245"/>
    <w:rsid w:val="55E738C7"/>
    <w:rsid w:val="55E97640"/>
    <w:rsid w:val="55EA33B8"/>
    <w:rsid w:val="55EB160A"/>
    <w:rsid w:val="55EB785C"/>
    <w:rsid w:val="55EE2EA8"/>
    <w:rsid w:val="55EE4C56"/>
    <w:rsid w:val="55EF09CE"/>
    <w:rsid w:val="55F06C20"/>
    <w:rsid w:val="55F36710"/>
    <w:rsid w:val="55F52488"/>
    <w:rsid w:val="55F67FAE"/>
    <w:rsid w:val="55F77D8C"/>
    <w:rsid w:val="55F83D27"/>
    <w:rsid w:val="55F926AC"/>
    <w:rsid w:val="55FB55C5"/>
    <w:rsid w:val="55FC6DA9"/>
    <w:rsid w:val="55FD758F"/>
    <w:rsid w:val="560222CE"/>
    <w:rsid w:val="56024BA5"/>
    <w:rsid w:val="560426CB"/>
    <w:rsid w:val="56042D22"/>
    <w:rsid w:val="56066443"/>
    <w:rsid w:val="56097CE2"/>
    <w:rsid w:val="560C77D2"/>
    <w:rsid w:val="56116B96"/>
    <w:rsid w:val="5612303A"/>
    <w:rsid w:val="56151AED"/>
    <w:rsid w:val="561548D9"/>
    <w:rsid w:val="56156687"/>
    <w:rsid w:val="561623FF"/>
    <w:rsid w:val="561A1EEF"/>
    <w:rsid w:val="561A5A4B"/>
    <w:rsid w:val="561B7A15"/>
    <w:rsid w:val="561C5C67"/>
    <w:rsid w:val="561D006E"/>
    <w:rsid w:val="561D2654"/>
    <w:rsid w:val="561D378D"/>
    <w:rsid w:val="561F43C7"/>
    <w:rsid w:val="56215531"/>
    <w:rsid w:val="56260894"/>
    <w:rsid w:val="56270168"/>
    <w:rsid w:val="5627460C"/>
    <w:rsid w:val="562803B5"/>
    <w:rsid w:val="5629178B"/>
    <w:rsid w:val="56292132"/>
    <w:rsid w:val="56293EE0"/>
    <w:rsid w:val="562B40FC"/>
    <w:rsid w:val="562C010C"/>
    <w:rsid w:val="5630526E"/>
    <w:rsid w:val="56312D95"/>
    <w:rsid w:val="56327239"/>
    <w:rsid w:val="56331C6F"/>
    <w:rsid w:val="56334D5F"/>
    <w:rsid w:val="56336B0D"/>
    <w:rsid w:val="563611BE"/>
    <w:rsid w:val="56383ADE"/>
    <w:rsid w:val="563A433F"/>
    <w:rsid w:val="563D798B"/>
    <w:rsid w:val="563F3703"/>
    <w:rsid w:val="563F79D8"/>
    <w:rsid w:val="564156CE"/>
    <w:rsid w:val="564231F4"/>
    <w:rsid w:val="56426CE9"/>
    <w:rsid w:val="56446F6C"/>
    <w:rsid w:val="56464C3E"/>
    <w:rsid w:val="564927D4"/>
    <w:rsid w:val="56494582"/>
    <w:rsid w:val="564B02FA"/>
    <w:rsid w:val="564B20A8"/>
    <w:rsid w:val="564E1B99"/>
    <w:rsid w:val="564E304F"/>
    <w:rsid w:val="564E3947"/>
    <w:rsid w:val="56503B63"/>
    <w:rsid w:val="565076BF"/>
    <w:rsid w:val="565B1A48"/>
    <w:rsid w:val="565C2507"/>
    <w:rsid w:val="565C59BC"/>
    <w:rsid w:val="565C6063"/>
    <w:rsid w:val="565E4A50"/>
    <w:rsid w:val="565F3DA6"/>
    <w:rsid w:val="566118CC"/>
    <w:rsid w:val="56625644"/>
    <w:rsid w:val="56665134"/>
    <w:rsid w:val="56680EAC"/>
    <w:rsid w:val="566C29CD"/>
    <w:rsid w:val="566D6A2E"/>
    <w:rsid w:val="566E3FE9"/>
    <w:rsid w:val="56701B0F"/>
    <w:rsid w:val="56705FB3"/>
    <w:rsid w:val="56707D61"/>
    <w:rsid w:val="567233E3"/>
    <w:rsid w:val="56736C00"/>
    <w:rsid w:val="56757125"/>
    <w:rsid w:val="56772E9D"/>
    <w:rsid w:val="56794E67"/>
    <w:rsid w:val="567C04B4"/>
    <w:rsid w:val="567C5B8B"/>
    <w:rsid w:val="567D422C"/>
    <w:rsid w:val="567F7FA4"/>
    <w:rsid w:val="56811F6E"/>
    <w:rsid w:val="56847368"/>
    <w:rsid w:val="56870A65"/>
    <w:rsid w:val="56876E58"/>
    <w:rsid w:val="568832FC"/>
    <w:rsid w:val="568850AA"/>
    <w:rsid w:val="56892BD1"/>
    <w:rsid w:val="56893E7C"/>
    <w:rsid w:val="568B06F7"/>
    <w:rsid w:val="568F468B"/>
    <w:rsid w:val="56905D0D"/>
    <w:rsid w:val="56921A85"/>
    <w:rsid w:val="56925F29"/>
    <w:rsid w:val="56933A4F"/>
    <w:rsid w:val="5697353F"/>
    <w:rsid w:val="56981066"/>
    <w:rsid w:val="56995821"/>
    <w:rsid w:val="569972B8"/>
    <w:rsid w:val="569E667C"/>
    <w:rsid w:val="569F0646"/>
    <w:rsid w:val="569F23F4"/>
    <w:rsid w:val="569F6CEC"/>
    <w:rsid w:val="56A143BE"/>
    <w:rsid w:val="56A25A40"/>
    <w:rsid w:val="56A417B8"/>
    <w:rsid w:val="56A45C5C"/>
    <w:rsid w:val="56A52B5E"/>
    <w:rsid w:val="56A96DCF"/>
    <w:rsid w:val="56AB2B47"/>
    <w:rsid w:val="56B0015D"/>
    <w:rsid w:val="56B52866"/>
    <w:rsid w:val="56B85264"/>
    <w:rsid w:val="56B934B6"/>
    <w:rsid w:val="56BA5480"/>
    <w:rsid w:val="56BA722E"/>
    <w:rsid w:val="56BB4793"/>
    <w:rsid w:val="56BC6214"/>
    <w:rsid w:val="56BC6B02"/>
    <w:rsid w:val="56BC7955"/>
    <w:rsid w:val="56BE0ACC"/>
    <w:rsid w:val="56BF4844"/>
    <w:rsid w:val="56C1236A"/>
    <w:rsid w:val="56C25EEB"/>
    <w:rsid w:val="56C836F9"/>
    <w:rsid w:val="56C9121F"/>
    <w:rsid w:val="56CB68EF"/>
    <w:rsid w:val="56CD0D0F"/>
    <w:rsid w:val="56CE4A87"/>
    <w:rsid w:val="56CE6835"/>
    <w:rsid w:val="56CF0F2B"/>
    <w:rsid w:val="56D06A51"/>
    <w:rsid w:val="56D227CA"/>
    <w:rsid w:val="56D402F0"/>
    <w:rsid w:val="56D4209E"/>
    <w:rsid w:val="56D55E16"/>
    <w:rsid w:val="56D57BC4"/>
    <w:rsid w:val="56D627B6"/>
    <w:rsid w:val="56D72C44"/>
    <w:rsid w:val="56D77DE0"/>
    <w:rsid w:val="56D83DF0"/>
    <w:rsid w:val="56DB78D0"/>
    <w:rsid w:val="56DC4338"/>
    <w:rsid w:val="56DE116E"/>
    <w:rsid w:val="56DF0A43"/>
    <w:rsid w:val="56E16569"/>
    <w:rsid w:val="56E322E1"/>
    <w:rsid w:val="56E61DD1"/>
    <w:rsid w:val="56E803BD"/>
    <w:rsid w:val="56EB5586"/>
    <w:rsid w:val="56EB5639"/>
    <w:rsid w:val="56EB73E7"/>
    <w:rsid w:val="56F02C50"/>
    <w:rsid w:val="56F24C1A"/>
    <w:rsid w:val="56F27A24"/>
    <w:rsid w:val="56F30EB4"/>
    <w:rsid w:val="56F42740"/>
    <w:rsid w:val="56F43E0D"/>
    <w:rsid w:val="56F52014"/>
    <w:rsid w:val="56F91B04"/>
    <w:rsid w:val="56F97D56"/>
    <w:rsid w:val="56FA0D87"/>
    <w:rsid w:val="56FA762A"/>
    <w:rsid w:val="56FE35BF"/>
    <w:rsid w:val="57004D88"/>
    <w:rsid w:val="5706732A"/>
    <w:rsid w:val="570F0F73"/>
    <w:rsid w:val="571050A0"/>
    <w:rsid w:val="57106E4E"/>
    <w:rsid w:val="571132F2"/>
    <w:rsid w:val="5712706A"/>
    <w:rsid w:val="57160908"/>
    <w:rsid w:val="571903F8"/>
    <w:rsid w:val="57193F55"/>
    <w:rsid w:val="571E22FE"/>
    <w:rsid w:val="572172AD"/>
    <w:rsid w:val="57230924"/>
    <w:rsid w:val="572528F9"/>
    <w:rsid w:val="57272B15"/>
    <w:rsid w:val="572B6F11"/>
    <w:rsid w:val="572C1045"/>
    <w:rsid w:val="572D17AE"/>
    <w:rsid w:val="572D5C52"/>
    <w:rsid w:val="572F5526"/>
    <w:rsid w:val="5731087A"/>
    <w:rsid w:val="573174F0"/>
    <w:rsid w:val="57336347"/>
    <w:rsid w:val="573568B4"/>
    <w:rsid w:val="57362D58"/>
    <w:rsid w:val="57364EEE"/>
    <w:rsid w:val="573816EC"/>
    <w:rsid w:val="5738773E"/>
    <w:rsid w:val="573C7C43"/>
    <w:rsid w:val="573E39BB"/>
    <w:rsid w:val="573E602B"/>
    <w:rsid w:val="574014E1"/>
    <w:rsid w:val="57441E9D"/>
    <w:rsid w:val="57486D6A"/>
    <w:rsid w:val="574A2360"/>
    <w:rsid w:val="574D3BFE"/>
    <w:rsid w:val="574F3E1A"/>
    <w:rsid w:val="57503DD9"/>
    <w:rsid w:val="57521214"/>
    <w:rsid w:val="57541431"/>
    <w:rsid w:val="575548AE"/>
    <w:rsid w:val="57560D05"/>
    <w:rsid w:val="575635E0"/>
    <w:rsid w:val="57566F57"/>
    <w:rsid w:val="575907F5"/>
    <w:rsid w:val="575925A3"/>
    <w:rsid w:val="575B456D"/>
    <w:rsid w:val="575C02E5"/>
    <w:rsid w:val="575E0945"/>
    <w:rsid w:val="57607DD5"/>
    <w:rsid w:val="57623B4D"/>
    <w:rsid w:val="57633422"/>
    <w:rsid w:val="57636ED5"/>
    <w:rsid w:val="57637240"/>
    <w:rsid w:val="57671164"/>
    <w:rsid w:val="576B045F"/>
    <w:rsid w:val="576C0528"/>
    <w:rsid w:val="576D24F2"/>
    <w:rsid w:val="576D604E"/>
    <w:rsid w:val="576E58A2"/>
    <w:rsid w:val="576F626A"/>
    <w:rsid w:val="57711FE2"/>
    <w:rsid w:val="577218B7"/>
    <w:rsid w:val="577473DD"/>
    <w:rsid w:val="5776215B"/>
    <w:rsid w:val="5778511F"/>
    <w:rsid w:val="577949F3"/>
    <w:rsid w:val="577B3BE0"/>
    <w:rsid w:val="577B4C0F"/>
    <w:rsid w:val="577E200A"/>
    <w:rsid w:val="577E46FF"/>
    <w:rsid w:val="57841166"/>
    <w:rsid w:val="57877110"/>
    <w:rsid w:val="578810DA"/>
    <w:rsid w:val="5789732C"/>
    <w:rsid w:val="578A30A4"/>
    <w:rsid w:val="578F4217"/>
    <w:rsid w:val="5790495D"/>
    <w:rsid w:val="57923D07"/>
    <w:rsid w:val="5794182D"/>
    <w:rsid w:val="579637F7"/>
    <w:rsid w:val="57992BC0"/>
    <w:rsid w:val="579932E7"/>
    <w:rsid w:val="57996E43"/>
    <w:rsid w:val="579B2BBB"/>
    <w:rsid w:val="579B705F"/>
    <w:rsid w:val="579D04DD"/>
    <w:rsid w:val="579D2DD8"/>
    <w:rsid w:val="579D4B86"/>
    <w:rsid w:val="579E26AC"/>
    <w:rsid w:val="579E7D32"/>
    <w:rsid w:val="57A001D2"/>
    <w:rsid w:val="57A04676"/>
    <w:rsid w:val="57A06424"/>
    <w:rsid w:val="57A11755"/>
    <w:rsid w:val="57A37CC2"/>
    <w:rsid w:val="57A53A3A"/>
    <w:rsid w:val="57A71560"/>
    <w:rsid w:val="57A75A04"/>
    <w:rsid w:val="57A85717"/>
    <w:rsid w:val="57AA1051"/>
    <w:rsid w:val="57AA2DFF"/>
    <w:rsid w:val="57AA72A2"/>
    <w:rsid w:val="57AC301B"/>
    <w:rsid w:val="57AE07FF"/>
    <w:rsid w:val="57B03084"/>
    <w:rsid w:val="57B1418D"/>
    <w:rsid w:val="57B819BF"/>
    <w:rsid w:val="57B958F8"/>
    <w:rsid w:val="57BB500C"/>
    <w:rsid w:val="57BD10A8"/>
    <w:rsid w:val="57BD42FE"/>
    <w:rsid w:val="57BD5228"/>
    <w:rsid w:val="57C55E8A"/>
    <w:rsid w:val="57C62A10"/>
    <w:rsid w:val="57CA34A1"/>
    <w:rsid w:val="57CA6432"/>
    <w:rsid w:val="57CD4D3F"/>
    <w:rsid w:val="57CF2865"/>
    <w:rsid w:val="57D03CD4"/>
    <w:rsid w:val="57D04F5B"/>
    <w:rsid w:val="57D305A7"/>
    <w:rsid w:val="57D32355"/>
    <w:rsid w:val="57D351A3"/>
    <w:rsid w:val="57D91936"/>
    <w:rsid w:val="57D936E4"/>
    <w:rsid w:val="57DB3900"/>
    <w:rsid w:val="57DC7C7B"/>
    <w:rsid w:val="57DE0CFA"/>
    <w:rsid w:val="57E207EA"/>
    <w:rsid w:val="57E36310"/>
    <w:rsid w:val="57E427B4"/>
    <w:rsid w:val="57E44562"/>
    <w:rsid w:val="57E722A5"/>
    <w:rsid w:val="57E74053"/>
    <w:rsid w:val="57E75E01"/>
    <w:rsid w:val="57EA769F"/>
    <w:rsid w:val="57EE3633"/>
    <w:rsid w:val="57F24B59"/>
    <w:rsid w:val="57F24C6F"/>
    <w:rsid w:val="57F347A6"/>
    <w:rsid w:val="57F55F69"/>
    <w:rsid w:val="57F66044"/>
    <w:rsid w:val="57F81DBC"/>
    <w:rsid w:val="57FA3D86"/>
    <w:rsid w:val="57FD3876"/>
    <w:rsid w:val="58003366"/>
    <w:rsid w:val="58005114"/>
    <w:rsid w:val="58020E8D"/>
    <w:rsid w:val="58057058"/>
    <w:rsid w:val="5809221B"/>
    <w:rsid w:val="58095D77"/>
    <w:rsid w:val="580A7D41"/>
    <w:rsid w:val="580B61E2"/>
    <w:rsid w:val="580C1D0B"/>
    <w:rsid w:val="580E15DF"/>
    <w:rsid w:val="580E5A83"/>
    <w:rsid w:val="580F7106"/>
    <w:rsid w:val="581035A9"/>
    <w:rsid w:val="58107BA9"/>
    <w:rsid w:val="58122797"/>
    <w:rsid w:val="58124259"/>
    <w:rsid w:val="5813309A"/>
    <w:rsid w:val="58143054"/>
    <w:rsid w:val="58150BC0"/>
    <w:rsid w:val="58164938"/>
    <w:rsid w:val="58166663"/>
    <w:rsid w:val="581666E6"/>
    <w:rsid w:val="581939F2"/>
    <w:rsid w:val="581949DE"/>
    <w:rsid w:val="581A12AA"/>
    <w:rsid w:val="581A7F84"/>
    <w:rsid w:val="581B5AAA"/>
    <w:rsid w:val="581F37ED"/>
    <w:rsid w:val="581F559B"/>
    <w:rsid w:val="5822508B"/>
    <w:rsid w:val="582726A1"/>
    <w:rsid w:val="5827444F"/>
    <w:rsid w:val="58293713"/>
    <w:rsid w:val="582A0D9F"/>
    <w:rsid w:val="582A2734"/>
    <w:rsid w:val="582B03E3"/>
    <w:rsid w:val="582C537A"/>
    <w:rsid w:val="582C5F09"/>
    <w:rsid w:val="582C7CB7"/>
    <w:rsid w:val="582E57DE"/>
    <w:rsid w:val="583077A8"/>
    <w:rsid w:val="5831536C"/>
    <w:rsid w:val="583A23D4"/>
    <w:rsid w:val="583C439E"/>
    <w:rsid w:val="583F5C3D"/>
    <w:rsid w:val="58403763"/>
    <w:rsid w:val="584414A5"/>
    <w:rsid w:val="58461C3C"/>
    <w:rsid w:val="58474AF1"/>
    <w:rsid w:val="58485A69"/>
    <w:rsid w:val="58490869"/>
    <w:rsid w:val="58492617"/>
    <w:rsid w:val="584B2834"/>
    <w:rsid w:val="584C2108"/>
    <w:rsid w:val="584D7A97"/>
    <w:rsid w:val="584E29FC"/>
    <w:rsid w:val="584E7C2E"/>
    <w:rsid w:val="5851771E"/>
    <w:rsid w:val="585A65D3"/>
    <w:rsid w:val="585B059D"/>
    <w:rsid w:val="585B5FB1"/>
    <w:rsid w:val="585D2567"/>
    <w:rsid w:val="585D4315"/>
    <w:rsid w:val="5862288E"/>
    <w:rsid w:val="586236D9"/>
    <w:rsid w:val="5866141B"/>
    <w:rsid w:val="58670CF0"/>
    <w:rsid w:val="58692CBA"/>
    <w:rsid w:val="58694A68"/>
    <w:rsid w:val="586B4C84"/>
    <w:rsid w:val="586B6A32"/>
    <w:rsid w:val="586C27AA"/>
    <w:rsid w:val="586C2AC2"/>
    <w:rsid w:val="5870229A"/>
    <w:rsid w:val="58733B38"/>
    <w:rsid w:val="58737694"/>
    <w:rsid w:val="587578B0"/>
    <w:rsid w:val="587753D7"/>
    <w:rsid w:val="587A4EC7"/>
    <w:rsid w:val="587C13DB"/>
    <w:rsid w:val="587D49B7"/>
    <w:rsid w:val="587D6765"/>
    <w:rsid w:val="58810003"/>
    <w:rsid w:val="58816255"/>
    <w:rsid w:val="58823DDA"/>
    <w:rsid w:val="5886386C"/>
    <w:rsid w:val="5887032B"/>
    <w:rsid w:val="58871392"/>
    <w:rsid w:val="5889335C"/>
    <w:rsid w:val="588A4272"/>
    <w:rsid w:val="588B2C30"/>
    <w:rsid w:val="588D4BFA"/>
    <w:rsid w:val="588F168E"/>
    <w:rsid w:val="589046EA"/>
    <w:rsid w:val="58922210"/>
    <w:rsid w:val="5894149F"/>
    <w:rsid w:val="58951D01"/>
    <w:rsid w:val="58953AAF"/>
    <w:rsid w:val="5895766E"/>
    <w:rsid w:val="589773D1"/>
    <w:rsid w:val="589A10C5"/>
    <w:rsid w:val="589A2E73"/>
    <w:rsid w:val="589C4E3D"/>
    <w:rsid w:val="589E6E07"/>
    <w:rsid w:val="589F66DB"/>
    <w:rsid w:val="58A261CC"/>
    <w:rsid w:val="58A70C52"/>
    <w:rsid w:val="58A75590"/>
    <w:rsid w:val="58A91308"/>
    <w:rsid w:val="58AB1524"/>
    <w:rsid w:val="58AB6E2E"/>
    <w:rsid w:val="58AE2DC2"/>
    <w:rsid w:val="58AE4B70"/>
    <w:rsid w:val="58B31A8B"/>
    <w:rsid w:val="58B33A31"/>
    <w:rsid w:val="58B479F0"/>
    <w:rsid w:val="58B54151"/>
    <w:rsid w:val="58B55EFF"/>
    <w:rsid w:val="58B8154B"/>
    <w:rsid w:val="58BA1767"/>
    <w:rsid w:val="58BA52C3"/>
    <w:rsid w:val="58BD4DB3"/>
    <w:rsid w:val="58BF0B2C"/>
    <w:rsid w:val="58C06E06"/>
    <w:rsid w:val="58C148A4"/>
    <w:rsid w:val="58C1672F"/>
    <w:rsid w:val="58C47EF0"/>
    <w:rsid w:val="58C63C68"/>
    <w:rsid w:val="58C779E0"/>
    <w:rsid w:val="58C86C4E"/>
    <w:rsid w:val="58CB5722"/>
    <w:rsid w:val="58CD73EC"/>
    <w:rsid w:val="58CE7D58"/>
    <w:rsid w:val="58D004CB"/>
    <w:rsid w:val="58D04AE7"/>
    <w:rsid w:val="58D07A89"/>
    <w:rsid w:val="58D33D61"/>
    <w:rsid w:val="58D36385"/>
    <w:rsid w:val="58D565A1"/>
    <w:rsid w:val="58D75E75"/>
    <w:rsid w:val="58D8399B"/>
    <w:rsid w:val="58D97E3F"/>
    <w:rsid w:val="58DA3BB7"/>
    <w:rsid w:val="58DA7713"/>
    <w:rsid w:val="58DC16DE"/>
    <w:rsid w:val="58DE3013"/>
    <w:rsid w:val="58DE5456"/>
    <w:rsid w:val="58DF11CE"/>
    <w:rsid w:val="58DF2F7C"/>
    <w:rsid w:val="58DF4D2A"/>
    <w:rsid w:val="58E00DE3"/>
    <w:rsid w:val="58E30CBE"/>
    <w:rsid w:val="58E32A6C"/>
    <w:rsid w:val="58E40592"/>
    <w:rsid w:val="58E42340"/>
    <w:rsid w:val="58E80082"/>
    <w:rsid w:val="58E81E30"/>
    <w:rsid w:val="58E97957"/>
    <w:rsid w:val="58EA204C"/>
    <w:rsid w:val="58EB7B73"/>
    <w:rsid w:val="58EC3877"/>
    <w:rsid w:val="58ED4908"/>
    <w:rsid w:val="58ED7447"/>
    <w:rsid w:val="58EE31BF"/>
    <w:rsid w:val="58F049CA"/>
    <w:rsid w:val="58F22CAF"/>
    <w:rsid w:val="58F44C79"/>
    <w:rsid w:val="58F5279F"/>
    <w:rsid w:val="58F72073"/>
    <w:rsid w:val="58F92290"/>
    <w:rsid w:val="58F9403E"/>
    <w:rsid w:val="58FA6008"/>
    <w:rsid w:val="58FB7220"/>
    <w:rsid w:val="58FC1D80"/>
    <w:rsid w:val="58FC3B2E"/>
    <w:rsid w:val="58FD4AA4"/>
    <w:rsid w:val="58FE6FFB"/>
    <w:rsid w:val="58FE7493"/>
    <w:rsid w:val="58FF53CC"/>
    <w:rsid w:val="59034B0E"/>
    <w:rsid w:val="59066A61"/>
    <w:rsid w:val="59080725"/>
    <w:rsid w:val="590824D3"/>
    <w:rsid w:val="590A4A8F"/>
    <w:rsid w:val="590A624B"/>
    <w:rsid w:val="590B2212"/>
    <w:rsid w:val="590D1897"/>
    <w:rsid w:val="590D5D3B"/>
    <w:rsid w:val="59105CBF"/>
    <w:rsid w:val="591075D9"/>
    <w:rsid w:val="59126EAD"/>
    <w:rsid w:val="5915074C"/>
    <w:rsid w:val="59154BEF"/>
    <w:rsid w:val="591841DB"/>
    <w:rsid w:val="591E5852"/>
    <w:rsid w:val="59215342"/>
    <w:rsid w:val="5923730C"/>
    <w:rsid w:val="59254E33"/>
    <w:rsid w:val="59282B75"/>
    <w:rsid w:val="59285D16"/>
    <w:rsid w:val="592A2449"/>
    <w:rsid w:val="592A538D"/>
    <w:rsid w:val="592B4413"/>
    <w:rsid w:val="592D018B"/>
    <w:rsid w:val="592D1F39"/>
    <w:rsid w:val="592F5CB1"/>
    <w:rsid w:val="593212FE"/>
    <w:rsid w:val="5934151A"/>
    <w:rsid w:val="59345076"/>
    <w:rsid w:val="59372DB8"/>
    <w:rsid w:val="593908DE"/>
    <w:rsid w:val="593F3A1A"/>
    <w:rsid w:val="59400210"/>
    <w:rsid w:val="59401951"/>
    <w:rsid w:val="59417793"/>
    <w:rsid w:val="5944082C"/>
    <w:rsid w:val="59441762"/>
    <w:rsid w:val="594634C0"/>
    <w:rsid w:val="59464082"/>
    <w:rsid w:val="5947124D"/>
    <w:rsid w:val="59480B21"/>
    <w:rsid w:val="594E53E5"/>
    <w:rsid w:val="594F0101"/>
    <w:rsid w:val="594F4501"/>
    <w:rsid w:val="59513E7A"/>
    <w:rsid w:val="595167E9"/>
    <w:rsid w:val="595219A0"/>
    <w:rsid w:val="59592D2E"/>
    <w:rsid w:val="595B45E5"/>
    <w:rsid w:val="595B4CF8"/>
    <w:rsid w:val="595E6596"/>
    <w:rsid w:val="59633BAD"/>
    <w:rsid w:val="59684D1F"/>
    <w:rsid w:val="59693143"/>
    <w:rsid w:val="596B0C63"/>
    <w:rsid w:val="596B480F"/>
    <w:rsid w:val="596C2A61"/>
    <w:rsid w:val="596D67DA"/>
    <w:rsid w:val="596F2552"/>
    <w:rsid w:val="59701244"/>
    <w:rsid w:val="59701C86"/>
    <w:rsid w:val="59701E26"/>
    <w:rsid w:val="59710803"/>
    <w:rsid w:val="59723DF0"/>
    <w:rsid w:val="597247E0"/>
    <w:rsid w:val="59741916"/>
    <w:rsid w:val="597B4402"/>
    <w:rsid w:val="597C5CCB"/>
    <w:rsid w:val="597E4619"/>
    <w:rsid w:val="597E4984"/>
    <w:rsid w:val="597F41AD"/>
    <w:rsid w:val="597F517B"/>
    <w:rsid w:val="5980650D"/>
    <w:rsid w:val="59831B59"/>
    <w:rsid w:val="59837DAB"/>
    <w:rsid w:val="59861515"/>
    <w:rsid w:val="5988716F"/>
    <w:rsid w:val="598C3104"/>
    <w:rsid w:val="598D4177"/>
    <w:rsid w:val="598E5973"/>
    <w:rsid w:val="598F6750"/>
    <w:rsid w:val="59901BA6"/>
    <w:rsid w:val="59926240"/>
    <w:rsid w:val="59945B14"/>
    <w:rsid w:val="5997249A"/>
    <w:rsid w:val="59981AA8"/>
    <w:rsid w:val="599B50F5"/>
    <w:rsid w:val="599B6D12"/>
    <w:rsid w:val="599D70BF"/>
    <w:rsid w:val="599E6993"/>
    <w:rsid w:val="59A57D21"/>
    <w:rsid w:val="59A71CEC"/>
    <w:rsid w:val="59A74B39"/>
    <w:rsid w:val="59A85A64"/>
    <w:rsid w:val="59AA31B9"/>
    <w:rsid w:val="59AA5338"/>
    <w:rsid w:val="59AB01F8"/>
    <w:rsid w:val="59AF0BA0"/>
    <w:rsid w:val="59B05DB3"/>
    <w:rsid w:val="59B2243E"/>
    <w:rsid w:val="59B30690"/>
    <w:rsid w:val="59B368E2"/>
    <w:rsid w:val="59B419C2"/>
    <w:rsid w:val="59B61F2F"/>
    <w:rsid w:val="59B70343"/>
    <w:rsid w:val="59B77A55"/>
    <w:rsid w:val="59B83EF9"/>
    <w:rsid w:val="59B937CD"/>
    <w:rsid w:val="59BB7545"/>
    <w:rsid w:val="59BD32BD"/>
    <w:rsid w:val="59BD569A"/>
    <w:rsid w:val="59BE0DE3"/>
    <w:rsid w:val="59BE5287"/>
    <w:rsid w:val="59C208D3"/>
    <w:rsid w:val="59C23070"/>
    <w:rsid w:val="59C503C4"/>
    <w:rsid w:val="59C53F20"/>
    <w:rsid w:val="59C56616"/>
    <w:rsid w:val="59C75EEA"/>
    <w:rsid w:val="59C81C62"/>
    <w:rsid w:val="59C97EB4"/>
    <w:rsid w:val="59CC1752"/>
    <w:rsid w:val="59CD7278"/>
    <w:rsid w:val="59CE7D0B"/>
    <w:rsid w:val="59CF1242"/>
    <w:rsid w:val="59CF2E66"/>
    <w:rsid w:val="59CF2FF0"/>
    <w:rsid w:val="59CF7A5A"/>
    <w:rsid w:val="59D2488F"/>
    <w:rsid w:val="59D32690"/>
    <w:rsid w:val="59D6612D"/>
    <w:rsid w:val="59DA62AE"/>
    <w:rsid w:val="59DB7BE7"/>
    <w:rsid w:val="59DE4FE1"/>
    <w:rsid w:val="59E00D5A"/>
    <w:rsid w:val="59E24A40"/>
    <w:rsid w:val="59E26D55"/>
    <w:rsid w:val="59E36E2E"/>
    <w:rsid w:val="59E44CEE"/>
    <w:rsid w:val="59E7658C"/>
    <w:rsid w:val="59E85E60"/>
    <w:rsid w:val="59EA1BD8"/>
    <w:rsid w:val="59EF5441"/>
    <w:rsid w:val="59F12F67"/>
    <w:rsid w:val="59F35F66"/>
    <w:rsid w:val="59F45BFB"/>
    <w:rsid w:val="59F64A21"/>
    <w:rsid w:val="59F91E1B"/>
    <w:rsid w:val="59F92CC7"/>
    <w:rsid w:val="59FA62BF"/>
    <w:rsid w:val="59FB55E7"/>
    <w:rsid w:val="59FD262F"/>
    <w:rsid w:val="59FE51CE"/>
    <w:rsid w:val="59FF38D6"/>
    <w:rsid w:val="5A0013FC"/>
    <w:rsid w:val="5A030A87"/>
    <w:rsid w:val="5A0752CB"/>
    <w:rsid w:val="5A094754"/>
    <w:rsid w:val="5A096502"/>
    <w:rsid w:val="5A0A04CC"/>
    <w:rsid w:val="5A0A16DA"/>
    <w:rsid w:val="5A0C5FF2"/>
    <w:rsid w:val="5A102BB5"/>
    <w:rsid w:val="5A1030D6"/>
    <w:rsid w:val="5A105AE3"/>
    <w:rsid w:val="5A117165"/>
    <w:rsid w:val="5A13112F"/>
    <w:rsid w:val="5A137381"/>
    <w:rsid w:val="5A160C1F"/>
    <w:rsid w:val="5A186688"/>
    <w:rsid w:val="5A1924BD"/>
    <w:rsid w:val="5A19426B"/>
    <w:rsid w:val="5A1A070F"/>
    <w:rsid w:val="5A1A3741"/>
    <w:rsid w:val="5A1B6236"/>
    <w:rsid w:val="5A1D1FAE"/>
    <w:rsid w:val="5A1E1882"/>
    <w:rsid w:val="5A261B69"/>
    <w:rsid w:val="5A296BA4"/>
    <w:rsid w:val="5A2A0227"/>
    <w:rsid w:val="5A2A46CB"/>
    <w:rsid w:val="5A2C3F9F"/>
    <w:rsid w:val="5A2E0C74"/>
    <w:rsid w:val="5A2F1CE1"/>
    <w:rsid w:val="5A33532D"/>
    <w:rsid w:val="5A355549"/>
    <w:rsid w:val="5A3612C1"/>
    <w:rsid w:val="5A395589"/>
    <w:rsid w:val="5A3A2B60"/>
    <w:rsid w:val="5A3B2434"/>
    <w:rsid w:val="5A3B2465"/>
    <w:rsid w:val="5A3C1AC0"/>
    <w:rsid w:val="5A3D7F5A"/>
    <w:rsid w:val="5A3E3CD2"/>
    <w:rsid w:val="5A3F0176"/>
    <w:rsid w:val="5A417B04"/>
    <w:rsid w:val="5A421A14"/>
    <w:rsid w:val="5A430530"/>
    <w:rsid w:val="5A4561C9"/>
    <w:rsid w:val="5A470DD9"/>
    <w:rsid w:val="5A47527D"/>
    <w:rsid w:val="5A47702B"/>
    <w:rsid w:val="5A4E2167"/>
    <w:rsid w:val="5A504131"/>
    <w:rsid w:val="5A557999"/>
    <w:rsid w:val="5A584D94"/>
    <w:rsid w:val="5A5D23AA"/>
    <w:rsid w:val="5A5D684E"/>
    <w:rsid w:val="5A5E2F74"/>
    <w:rsid w:val="5A5F25C6"/>
    <w:rsid w:val="5A6000EC"/>
    <w:rsid w:val="5A6279C1"/>
    <w:rsid w:val="5A6574B1"/>
    <w:rsid w:val="5A663955"/>
    <w:rsid w:val="5A670D37"/>
    <w:rsid w:val="5A673229"/>
    <w:rsid w:val="5A680816"/>
    <w:rsid w:val="5A694668"/>
    <w:rsid w:val="5A696FA1"/>
    <w:rsid w:val="5A6B6F88"/>
    <w:rsid w:val="5A6C38CF"/>
    <w:rsid w:val="5A6E1489"/>
    <w:rsid w:val="5A706581"/>
    <w:rsid w:val="5A715E56"/>
    <w:rsid w:val="5A736072"/>
    <w:rsid w:val="5A737E20"/>
    <w:rsid w:val="5A7476F4"/>
    <w:rsid w:val="5A7557DC"/>
    <w:rsid w:val="5A7616BE"/>
    <w:rsid w:val="5A767910"/>
    <w:rsid w:val="5A78158C"/>
    <w:rsid w:val="5A797AC8"/>
    <w:rsid w:val="5A7A11AE"/>
    <w:rsid w:val="5A7A7400"/>
    <w:rsid w:val="5A7C4F26"/>
    <w:rsid w:val="5A7F67C4"/>
    <w:rsid w:val="5A81078E"/>
    <w:rsid w:val="5A84202D"/>
    <w:rsid w:val="5A856A59"/>
    <w:rsid w:val="5A865020"/>
    <w:rsid w:val="5A867B53"/>
    <w:rsid w:val="5A871B1D"/>
    <w:rsid w:val="5A8738CB"/>
    <w:rsid w:val="5A8913F1"/>
    <w:rsid w:val="5A89319F"/>
    <w:rsid w:val="5A8B5169"/>
    <w:rsid w:val="5A8D0A60"/>
    <w:rsid w:val="5A8F0385"/>
    <w:rsid w:val="5A900F23"/>
    <w:rsid w:val="5A92474A"/>
    <w:rsid w:val="5A93401E"/>
    <w:rsid w:val="5A946B2A"/>
    <w:rsid w:val="5A951B44"/>
    <w:rsid w:val="5A955FE8"/>
    <w:rsid w:val="5A971D60"/>
    <w:rsid w:val="5A975FA5"/>
    <w:rsid w:val="5A9D28FB"/>
    <w:rsid w:val="5A9E49E8"/>
    <w:rsid w:val="5A9F3CAF"/>
    <w:rsid w:val="5A9F7C3A"/>
    <w:rsid w:val="5AA004E9"/>
    <w:rsid w:val="5AA12BDF"/>
    <w:rsid w:val="5AA20705"/>
    <w:rsid w:val="5AA24261"/>
    <w:rsid w:val="5AA4447D"/>
    <w:rsid w:val="5AA47FD9"/>
    <w:rsid w:val="5AA63D51"/>
    <w:rsid w:val="5AA853F9"/>
    <w:rsid w:val="5AA93841"/>
    <w:rsid w:val="5AAB75B9"/>
    <w:rsid w:val="5AAE2C06"/>
    <w:rsid w:val="5AB0697E"/>
    <w:rsid w:val="5AB26B9A"/>
    <w:rsid w:val="5AB46C0D"/>
    <w:rsid w:val="5AB729BD"/>
    <w:rsid w:val="5AB741B0"/>
    <w:rsid w:val="5AB82934"/>
    <w:rsid w:val="5AB87F28"/>
    <w:rsid w:val="5ABA5A47"/>
    <w:rsid w:val="5ABA5A4E"/>
    <w:rsid w:val="5AC02939"/>
    <w:rsid w:val="5AC27E15"/>
    <w:rsid w:val="5AC32B55"/>
    <w:rsid w:val="5AC7645E"/>
    <w:rsid w:val="5AC95C92"/>
    <w:rsid w:val="5AC97A40"/>
    <w:rsid w:val="5ACA6ECC"/>
    <w:rsid w:val="5ACB1A0A"/>
    <w:rsid w:val="5ACC12DE"/>
    <w:rsid w:val="5AD11167"/>
    <w:rsid w:val="5AD36B10"/>
    <w:rsid w:val="5AD57687"/>
    <w:rsid w:val="5AD86008"/>
    <w:rsid w:val="5ADA7E9F"/>
    <w:rsid w:val="5ADB7BB3"/>
    <w:rsid w:val="5ADC7773"/>
    <w:rsid w:val="5ADD173D"/>
    <w:rsid w:val="5ADF54B5"/>
    <w:rsid w:val="5AE26D53"/>
    <w:rsid w:val="5AE34FA5"/>
    <w:rsid w:val="5AE44879"/>
    <w:rsid w:val="5AE504D1"/>
    <w:rsid w:val="5AE900E2"/>
    <w:rsid w:val="5AEA041D"/>
    <w:rsid w:val="5AEA2CC8"/>
    <w:rsid w:val="5AEB5C08"/>
    <w:rsid w:val="5AEC372E"/>
    <w:rsid w:val="5AED1980"/>
    <w:rsid w:val="5AED2589"/>
    <w:rsid w:val="5AEE56F8"/>
    <w:rsid w:val="5AEF2DFF"/>
    <w:rsid w:val="5AF26F96"/>
    <w:rsid w:val="5AF30F60"/>
    <w:rsid w:val="5AF42587"/>
    <w:rsid w:val="5AF903EB"/>
    <w:rsid w:val="5AF96577"/>
    <w:rsid w:val="5AFA22EF"/>
    <w:rsid w:val="5AFA5E4B"/>
    <w:rsid w:val="5AFB2832"/>
    <w:rsid w:val="5AFB7B6B"/>
    <w:rsid w:val="5AFE1DDF"/>
    <w:rsid w:val="5AFE3B8D"/>
    <w:rsid w:val="5AFF3461"/>
    <w:rsid w:val="5AFF7905"/>
    <w:rsid w:val="5B013AD3"/>
    <w:rsid w:val="5B0311A3"/>
    <w:rsid w:val="5B0647F0"/>
    <w:rsid w:val="5B067C49"/>
    <w:rsid w:val="5B0B0058"/>
    <w:rsid w:val="5B0D2022"/>
    <w:rsid w:val="5B0D3DD0"/>
    <w:rsid w:val="5B0E18F6"/>
    <w:rsid w:val="5B0E59BB"/>
    <w:rsid w:val="5B0F7567"/>
    <w:rsid w:val="5B0F7EC4"/>
    <w:rsid w:val="5B123195"/>
    <w:rsid w:val="5B173A02"/>
    <w:rsid w:val="5B176BCC"/>
    <w:rsid w:val="5B184523"/>
    <w:rsid w:val="5B1909C7"/>
    <w:rsid w:val="5B19492B"/>
    <w:rsid w:val="5B1C06DB"/>
    <w:rsid w:val="5B1E7D8B"/>
    <w:rsid w:val="5B1F58B2"/>
    <w:rsid w:val="5B231846"/>
    <w:rsid w:val="5B2335F4"/>
    <w:rsid w:val="5B242EC8"/>
    <w:rsid w:val="5B24736C"/>
    <w:rsid w:val="5B2829B8"/>
    <w:rsid w:val="5B296730"/>
    <w:rsid w:val="5B2D1660"/>
    <w:rsid w:val="5B2D4472"/>
    <w:rsid w:val="5B2D7FCE"/>
    <w:rsid w:val="5B2F1F99"/>
    <w:rsid w:val="5B305D11"/>
    <w:rsid w:val="5B314042"/>
    <w:rsid w:val="5B3255E5"/>
    <w:rsid w:val="5B341B1C"/>
    <w:rsid w:val="5B351579"/>
    <w:rsid w:val="5B384449"/>
    <w:rsid w:val="5B392E17"/>
    <w:rsid w:val="5B394BC5"/>
    <w:rsid w:val="5B3A093D"/>
    <w:rsid w:val="5B3C6463"/>
    <w:rsid w:val="5B3E042E"/>
    <w:rsid w:val="5B3F5F54"/>
    <w:rsid w:val="5B3F6646"/>
    <w:rsid w:val="5B3F7D02"/>
    <w:rsid w:val="5B407AB5"/>
    <w:rsid w:val="5B4377F2"/>
    <w:rsid w:val="5B44356A"/>
    <w:rsid w:val="5B445318"/>
    <w:rsid w:val="5B4517BC"/>
    <w:rsid w:val="5B490B80"/>
    <w:rsid w:val="5B4B66A7"/>
    <w:rsid w:val="5B4C57D4"/>
    <w:rsid w:val="5B4F43E9"/>
    <w:rsid w:val="5B523ED9"/>
    <w:rsid w:val="5B540F34"/>
    <w:rsid w:val="5B5419FF"/>
    <w:rsid w:val="5B5714EF"/>
    <w:rsid w:val="5B5B46DE"/>
    <w:rsid w:val="5B5B72AF"/>
    <w:rsid w:val="5B5E462C"/>
    <w:rsid w:val="5B6078C7"/>
    <w:rsid w:val="5B6559BA"/>
    <w:rsid w:val="5B6634E0"/>
    <w:rsid w:val="5B676976"/>
    <w:rsid w:val="5B694D7F"/>
    <w:rsid w:val="5B6A0607"/>
    <w:rsid w:val="5B6A2FD1"/>
    <w:rsid w:val="5B6B4F9B"/>
    <w:rsid w:val="5B6B6D49"/>
    <w:rsid w:val="5B6D2AC1"/>
    <w:rsid w:val="5B6D7F83"/>
    <w:rsid w:val="5B7025B1"/>
    <w:rsid w:val="5B7200D7"/>
    <w:rsid w:val="5B721E85"/>
    <w:rsid w:val="5B745BFD"/>
    <w:rsid w:val="5B755624"/>
    <w:rsid w:val="5B7756EE"/>
    <w:rsid w:val="5B77749C"/>
    <w:rsid w:val="5B791466"/>
    <w:rsid w:val="5B793214"/>
    <w:rsid w:val="5B7A6F8C"/>
    <w:rsid w:val="5B7D3FF5"/>
    <w:rsid w:val="5B7E4CCE"/>
    <w:rsid w:val="5B7F3AD9"/>
    <w:rsid w:val="5B8322E4"/>
    <w:rsid w:val="5B835E40"/>
    <w:rsid w:val="5B85605C"/>
    <w:rsid w:val="5B874E3C"/>
    <w:rsid w:val="5B885B4D"/>
    <w:rsid w:val="5B8D3163"/>
    <w:rsid w:val="5B8E0E11"/>
    <w:rsid w:val="5B8F0C89"/>
    <w:rsid w:val="5B8F2A37"/>
    <w:rsid w:val="5B904C74"/>
    <w:rsid w:val="5B940EBA"/>
    <w:rsid w:val="5B955B74"/>
    <w:rsid w:val="5B955CFF"/>
    <w:rsid w:val="5B9718EC"/>
    <w:rsid w:val="5B9B5880"/>
    <w:rsid w:val="5B9D7062"/>
    <w:rsid w:val="5B9F1982"/>
    <w:rsid w:val="5BA109BC"/>
    <w:rsid w:val="5BA364E3"/>
    <w:rsid w:val="5BA504AD"/>
    <w:rsid w:val="5BA54009"/>
    <w:rsid w:val="5BA557F4"/>
    <w:rsid w:val="5BA61855"/>
    <w:rsid w:val="5BA66C84"/>
    <w:rsid w:val="5BAA0022"/>
    <w:rsid w:val="5BAF30D9"/>
    <w:rsid w:val="5BB43E59"/>
    <w:rsid w:val="5BB64468"/>
    <w:rsid w:val="5BB71F8E"/>
    <w:rsid w:val="5BB871F6"/>
    <w:rsid w:val="5BBB382C"/>
    <w:rsid w:val="5BBD57F6"/>
    <w:rsid w:val="5BBE50CA"/>
    <w:rsid w:val="5BC052E6"/>
    <w:rsid w:val="5BC07095"/>
    <w:rsid w:val="5BC10FDC"/>
    <w:rsid w:val="5BC14BBB"/>
    <w:rsid w:val="5BC22E0D"/>
    <w:rsid w:val="5BC326E1"/>
    <w:rsid w:val="5BC36B85"/>
    <w:rsid w:val="5BC5369D"/>
    <w:rsid w:val="5BC546AB"/>
    <w:rsid w:val="5BC70423"/>
    <w:rsid w:val="5BCA7F13"/>
    <w:rsid w:val="5BCC3C8B"/>
    <w:rsid w:val="5BCF72D8"/>
    <w:rsid w:val="5BD13050"/>
    <w:rsid w:val="5BD20DE2"/>
    <w:rsid w:val="5BD26DC8"/>
    <w:rsid w:val="5BD3501A"/>
    <w:rsid w:val="5BD40D92"/>
    <w:rsid w:val="5BD41B59"/>
    <w:rsid w:val="5BD62414"/>
    <w:rsid w:val="5BD82630"/>
    <w:rsid w:val="5BDB3ECE"/>
    <w:rsid w:val="5BDD7C46"/>
    <w:rsid w:val="5BDE2DB4"/>
    <w:rsid w:val="5BDE751B"/>
    <w:rsid w:val="5BDF6E15"/>
    <w:rsid w:val="5BE2700B"/>
    <w:rsid w:val="5BE31E3D"/>
    <w:rsid w:val="5BE33475"/>
    <w:rsid w:val="5BE54D4D"/>
    <w:rsid w:val="5BEC60DC"/>
    <w:rsid w:val="5BED5442"/>
    <w:rsid w:val="5BF46D3E"/>
    <w:rsid w:val="5BF7010E"/>
    <w:rsid w:val="5BF73518"/>
    <w:rsid w:val="5BFA0725"/>
    <w:rsid w:val="5BFB2626"/>
    <w:rsid w:val="5BFD3E45"/>
    <w:rsid w:val="5BFD3F1B"/>
    <w:rsid w:val="5BFE196B"/>
    <w:rsid w:val="5BFE219A"/>
    <w:rsid w:val="5BFE382E"/>
    <w:rsid w:val="5BFE5E0F"/>
    <w:rsid w:val="5BFE7BBD"/>
    <w:rsid w:val="5BFF1C3B"/>
    <w:rsid w:val="5C001B87"/>
    <w:rsid w:val="5C003935"/>
    <w:rsid w:val="5C040806"/>
    <w:rsid w:val="5C052CF9"/>
    <w:rsid w:val="5C053504"/>
    <w:rsid w:val="5C063701"/>
    <w:rsid w:val="5C07081F"/>
    <w:rsid w:val="5C074B91"/>
    <w:rsid w:val="5C0C22DA"/>
    <w:rsid w:val="5C0C4088"/>
    <w:rsid w:val="5C0D1BAE"/>
    <w:rsid w:val="5C0D7E00"/>
    <w:rsid w:val="5C0E3BCB"/>
    <w:rsid w:val="5C11169E"/>
    <w:rsid w:val="5C156FF2"/>
    <w:rsid w:val="5C163158"/>
    <w:rsid w:val="5C180C7F"/>
    <w:rsid w:val="5C1B076F"/>
    <w:rsid w:val="5C1D0043"/>
    <w:rsid w:val="5C1E0247"/>
    <w:rsid w:val="5C1E3DBB"/>
    <w:rsid w:val="5C205D85"/>
    <w:rsid w:val="5C2123A3"/>
    <w:rsid w:val="5C245875"/>
    <w:rsid w:val="5C250119"/>
    <w:rsid w:val="5C2869E8"/>
    <w:rsid w:val="5C286A9A"/>
    <w:rsid w:val="5C294C3A"/>
    <w:rsid w:val="5C2A6198"/>
    <w:rsid w:val="5C2C297C"/>
    <w:rsid w:val="5C2F7D76"/>
    <w:rsid w:val="5C321615"/>
    <w:rsid w:val="5C337866"/>
    <w:rsid w:val="5C3830CF"/>
    <w:rsid w:val="5C3B671B"/>
    <w:rsid w:val="5C3D2493"/>
    <w:rsid w:val="5C3D6937"/>
    <w:rsid w:val="5C3E7FB9"/>
    <w:rsid w:val="5C3F26AF"/>
    <w:rsid w:val="5C3F445D"/>
    <w:rsid w:val="5C403D31"/>
    <w:rsid w:val="5C416FF0"/>
    <w:rsid w:val="5C427AAA"/>
    <w:rsid w:val="5C433822"/>
    <w:rsid w:val="5C451348"/>
    <w:rsid w:val="5C45759A"/>
    <w:rsid w:val="5C460B93"/>
    <w:rsid w:val="5C471564"/>
    <w:rsid w:val="5C473312"/>
    <w:rsid w:val="5C49708A"/>
    <w:rsid w:val="5C4A4BB0"/>
    <w:rsid w:val="5C4C0928"/>
    <w:rsid w:val="5C4D65BB"/>
    <w:rsid w:val="5C504816"/>
    <w:rsid w:val="5C50666A"/>
    <w:rsid w:val="5C5305C6"/>
    <w:rsid w:val="5C5510C9"/>
    <w:rsid w:val="5C5679F9"/>
    <w:rsid w:val="5C58107B"/>
    <w:rsid w:val="5C584A0D"/>
    <w:rsid w:val="5C58551F"/>
    <w:rsid w:val="5C5D0D87"/>
    <w:rsid w:val="5C6043D4"/>
    <w:rsid w:val="5C64154B"/>
    <w:rsid w:val="5C6429DB"/>
    <w:rsid w:val="5C653798"/>
    <w:rsid w:val="5C6555AC"/>
    <w:rsid w:val="5C6739B4"/>
    <w:rsid w:val="5C6A5252"/>
    <w:rsid w:val="5C6B7CDD"/>
    <w:rsid w:val="5C6C4B26"/>
    <w:rsid w:val="5C6F4617"/>
    <w:rsid w:val="5C7019C3"/>
    <w:rsid w:val="5C741C2D"/>
    <w:rsid w:val="5C757E7F"/>
    <w:rsid w:val="5C7659A5"/>
    <w:rsid w:val="5C767826"/>
    <w:rsid w:val="5C79623E"/>
    <w:rsid w:val="5C797243"/>
    <w:rsid w:val="5C7B120D"/>
    <w:rsid w:val="5C7B2FBB"/>
    <w:rsid w:val="5C7D31D8"/>
    <w:rsid w:val="5C7D6D34"/>
    <w:rsid w:val="5C7F2AAC"/>
    <w:rsid w:val="5C8005D2"/>
    <w:rsid w:val="5C80260D"/>
    <w:rsid w:val="5C806824"/>
    <w:rsid w:val="5C8207EE"/>
    <w:rsid w:val="5C844566"/>
    <w:rsid w:val="5C855BE8"/>
    <w:rsid w:val="5C8A56BD"/>
    <w:rsid w:val="5C8F6A67"/>
    <w:rsid w:val="5C950521"/>
    <w:rsid w:val="5C9522CF"/>
    <w:rsid w:val="5C967DF5"/>
    <w:rsid w:val="5C974299"/>
    <w:rsid w:val="5C97586A"/>
    <w:rsid w:val="5C983B6D"/>
    <w:rsid w:val="5C9B365E"/>
    <w:rsid w:val="5C9B540C"/>
    <w:rsid w:val="5C9D2F32"/>
    <w:rsid w:val="5C9F2BA9"/>
    <w:rsid w:val="5C9F4EFC"/>
    <w:rsid w:val="5CA051D4"/>
    <w:rsid w:val="5CA11AC7"/>
    <w:rsid w:val="5CA50038"/>
    <w:rsid w:val="5CA73DB1"/>
    <w:rsid w:val="5CAA564F"/>
    <w:rsid w:val="5CAC586B"/>
    <w:rsid w:val="5CAC6EDF"/>
    <w:rsid w:val="5CB0535B"/>
    <w:rsid w:val="5CB35043"/>
    <w:rsid w:val="5CB462A5"/>
    <w:rsid w:val="5CB47963"/>
    <w:rsid w:val="5CB87D6C"/>
    <w:rsid w:val="5CB941C4"/>
    <w:rsid w:val="5CBA1D36"/>
    <w:rsid w:val="5CBB0F9F"/>
    <w:rsid w:val="5CBB785C"/>
    <w:rsid w:val="5CBC247D"/>
    <w:rsid w:val="5CC04E72"/>
    <w:rsid w:val="5CC11316"/>
    <w:rsid w:val="5CC130C4"/>
    <w:rsid w:val="5CC22998"/>
    <w:rsid w:val="5CC6692D"/>
    <w:rsid w:val="5CC74453"/>
    <w:rsid w:val="5CC76201"/>
    <w:rsid w:val="5CC85FC5"/>
    <w:rsid w:val="5CC97269"/>
    <w:rsid w:val="5CCB1749"/>
    <w:rsid w:val="5CCC3817"/>
    <w:rsid w:val="5CCE758F"/>
    <w:rsid w:val="5CD01559"/>
    <w:rsid w:val="5CD10E2D"/>
    <w:rsid w:val="5CD1707F"/>
    <w:rsid w:val="5CD526CC"/>
    <w:rsid w:val="5CD858CE"/>
    <w:rsid w:val="5CD96E3F"/>
    <w:rsid w:val="5CDA23D8"/>
    <w:rsid w:val="5CDA4186"/>
    <w:rsid w:val="5CDC1CBA"/>
    <w:rsid w:val="5CDC56DF"/>
    <w:rsid w:val="5CDD5A24"/>
    <w:rsid w:val="5CDD77D2"/>
    <w:rsid w:val="5CDF354A"/>
    <w:rsid w:val="5CE15514"/>
    <w:rsid w:val="5CE40B61"/>
    <w:rsid w:val="5CE5663B"/>
    <w:rsid w:val="5CE82AF2"/>
    <w:rsid w:val="5CEC5C67"/>
    <w:rsid w:val="5CEE34F6"/>
    <w:rsid w:val="5CEE378D"/>
    <w:rsid w:val="5CEE5E83"/>
    <w:rsid w:val="5CF02414"/>
    <w:rsid w:val="5CF05758"/>
    <w:rsid w:val="5CF1327E"/>
    <w:rsid w:val="5CF143D1"/>
    <w:rsid w:val="5CF3268D"/>
    <w:rsid w:val="5CF3349A"/>
    <w:rsid w:val="5CF50FC0"/>
    <w:rsid w:val="5CF54B1C"/>
    <w:rsid w:val="5CF80AB0"/>
    <w:rsid w:val="5CFB5EAA"/>
    <w:rsid w:val="5CFB7527"/>
    <w:rsid w:val="5D017965"/>
    <w:rsid w:val="5D027239"/>
    <w:rsid w:val="5D041203"/>
    <w:rsid w:val="5D04446A"/>
    <w:rsid w:val="5D0631CD"/>
    <w:rsid w:val="5D071DDC"/>
    <w:rsid w:val="5D0B433F"/>
    <w:rsid w:val="5D0C00B7"/>
    <w:rsid w:val="5D0E3E30"/>
    <w:rsid w:val="5D101956"/>
    <w:rsid w:val="5D121B72"/>
    <w:rsid w:val="5D137698"/>
    <w:rsid w:val="5D14180F"/>
    <w:rsid w:val="5D1443E0"/>
    <w:rsid w:val="5D1458EA"/>
    <w:rsid w:val="5D186A5C"/>
    <w:rsid w:val="5D1A08E9"/>
    <w:rsid w:val="5D1A4582"/>
    <w:rsid w:val="5D1C02FB"/>
    <w:rsid w:val="5D1D22C5"/>
    <w:rsid w:val="5D1E0063"/>
    <w:rsid w:val="5D1E1A64"/>
    <w:rsid w:val="5D215911"/>
    <w:rsid w:val="5D23755F"/>
    <w:rsid w:val="5D26561D"/>
    <w:rsid w:val="5D284EF1"/>
    <w:rsid w:val="5D296EBB"/>
    <w:rsid w:val="5D2D583F"/>
    <w:rsid w:val="5D2D69AC"/>
    <w:rsid w:val="5D2E6280"/>
    <w:rsid w:val="5D301FF8"/>
    <w:rsid w:val="5D303DA6"/>
    <w:rsid w:val="5D331AE8"/>
    <w:rsid w:val="5D333896"/>
    <w:rsid w:val="5D3543B8"/>
    <w:rsid w:val="5D355860"/>
    <w:rsid w:val="5D35760E"/>
    <w:rsid w:val="5D414205"/>
    <w:rsid w:val="5D447851"/>
    <w:rsid w:val="5D465377"/>
    <w:rsid w:val="5D4810F0"/>
    <w:rsid w:val="5D4A130C"/>
    <w:rsid w:val="5D4B5084"/>
    <w:rsid w:val="5D4C593F"/>
    <w:rsid w:val="5D4D4958"/>
    <w:rsid w:val="5D535CE6"/>
    <w:rsid w:val="5D551A5E"/>
    <w:rsid w:val="5D557CB0"/>
    <w:rsid w:val="5D5757D7"/>
    <w:rsid w:val="5D5A0E23"/>
    <w:rsid w:val="5D5B27A1"/>
    <w:rsid w:val="5D5C131E"/>
    <w:rsid w:val="5D5C2DED"/>
    <w:rsid w:val="5D5C7C44"/>
    <w:rsid w:val="5D5E4DB7"/>
    <w:rsid w:val="5D610403"/>
    <w:rsid w:val="5D616655"/>
    <w:rsid w:val="5D6323CD"/>
    <w:rsid w:val="5D6416C7"/>
    <w:rsid w:val="5D641CA2"/>
    <w:rsid w:val="5D6453EC"/>
    <w:rsid w:val="5D656145"/>
    <w:rsid w:val="5D67264C"/>
    <w:rsid w:val="5D681792"/>
    <w:rsid w:val="5D6972B8"/>
    <w:rsid w:val="5D6A15DA"/>
    <w:rsid w:val="5D6A1CEA"/>
    <w:rsid w:val="5D6A2978"/>
    <w:rsid w:val="5D6A375C"/>
    <w:rsid w:val="5D700646"/>
    <w:rsid w:val="5D720862"/>
    <w:rsid w:val="5D72616D"/>
    <w:rsid w:val="5D727C58"/>
    <w:rsid w:val="5D752101"/>
    <w:rsid w:val="5D753EAF"/>
    <w:rsid w:val="5D78495C"/>
    <w:rsid w:val="5D79574D"/>
    <w:rsid w:val="5D7A09BD"/>
    <w:rsid w:val="5D7A14C5"/>
    <w:rsid w:val="5D7C523D"/>
    <w:rsid w:val="5D7E0FB5"/>
    <w:rsid w:val="5D7E7207"/>
    <w:rsid w:val="5D8130C8"/>
    <w:rsid w:val="5D81714F"/>
    <w:rsid w:val="5D83037A"/>
    <w:rsid w:val="5D855AD0"/>
    <w:rsid w:val="5D881E34"/>
    <w:rsid w:val="5D894A1C"/>
    <w:rsid w:val="5D8958E1"/>
    <w:rsid w:val="5D8A795A"/>
    <w:rsid w:val="5D8B1FAD"/>
    <w:rsid w:val="5D8D11F8"/>
    <w:rsid w:val="5D8D4300"/>
    <w:rsid w:val="5D8E38D0"/>
    <w:rsid w:val="5D9200D4"/>
    <w:rsid w:val="5D924A61"/>
    <w:rsid w:val="5D953CF6"/>
    <w:rsid w:val="5D981248"/>
    <w:rsid w:val="5D997B9D"/>
    <w:rsid w:val="5D9B1B67"/>
    <w:rsid w:val="5D9C768D"/>
    <w:rsid w:val="5D9E3405"/>
    <w:rsid w:val="5DA0717E"/>
    <w:rsid w:val="5DA402F0"/>
    <w:rsid w:val="5DA447BC"/>
    <w:rsid w:val="5DA56542"/>
    <w:rsid w:val="5DA6050C"/>
    <w:rsid w:val="5DA65D35"/>
    <w:rsid w:val="5DA86032"/>
    <w:rsid w:val="5DAA7FFC"/>
    <w:rsid w:val="5DAD53F7"/>
    <w:rsid w:val="5DAF5613"/>
    <w:rsid w:val="5DB03139"/>
    <w:rsid w:val="5DB06C95"/>
    <w:rsid w:val="5DB1138B"/>
    <w:rsid w:val="5DB46785"/>
    <w:rsid w:val="5DB669A1"/>
    <w:rsid w:val="5DB70023"/>
    <w:rsid w:val="5DB721B5"/>
    <w:rsid w:val="5DB77B5F"/>
    <w:rsid w:val="5DB824CF"/>
    <w:rsid w:val="5DBC1ADE"/>
    <w:rsid w:val="5DBE6BF1"/>
    <w:rsid w:val="5DC015CE"/>
    <w:rsid w:val="5DC0337C"/>
    <w:rsid w:val="5DC21E32"/>
    <w:rsid w:val="5DC50992"/>
    <w:rsid w:val="5DC60BE3"/>
    <w:rsid w:val="5DC82082"/>
    <w:rsid w:val="5DC90B50"/>
    <w:rsid w:val="5DC9487D"/>
    <w:rsid w:val="5DCA2F4E"/>
    <w:rsid w:val="5DCA7D57"/>
    <w:rsid w:val="5DCD7847"/>
    <w:rsid w:val="5DCF35BF"/>
    <w:rsid w:val="5DCF7A63"/>
    <w:rsid w:val="5DD13BCE"/>
    <w:rsid w:val="5DD24E5D"/>
    <w:rsid w:val="5DD40BD5"/>
    <w:rsid w:val="5DD47E86"/>
    <w:rsid w:val="5DD5494D"/>
    <w:rsid w:val="5DD60DF1"/>
    <w:rsid w:val="5DD9048F"/>
    <w:rsid w:val="5DD92690"/>
    <w:rsid w:val="5DDB1F64"/>
    <w:rsid w:val="5DDB5188"/>
    <w:rsid w:val="5DDC5CDC"/>
    <w:rsid w:val="5DDE1A54"/>
    <w:rsid w:val="5DDE3802"/>
    <w:rsid w:val="5DE03A1E"/>
    <w:rsid w:val="5DE055FE"/>
    <w:rsid w:val="5DEB5F1F"/>
    <w:rsid w:val="5DEC23C3"/>
    <w:rsid w:val="5DF26CEA"/>
    <w:rsid w:val="5DF41277"/>
    <w:rsid w:val="5DF43025"/>
    <w:rsid w:val="5DF66D9E"/>
    <w:rsid w:val="5DF9688E"/>
    <w:rsid w:val="5DFC1EDA"/>
    <w:rsid w:val="5E0314BA"/>
    <w:rsid w:val="5E033269"/>
    <w:rsid w:val="5E062D59"/>
    <w:rsid w:val="5E064456"/>
    <w:rsid w:val="5E072D15"/>
    <w:rsid w:val="5E08087F"/>
    <w:rsid w:val="5E086AD1"/>
    <w:rsid w:val="5E0E058B"/>
    <w:rsid w:val="5E1100D9"/>
    <w:rsid w:val="5E115985"/>
    <w:rsid w:val="5E1501E6"/>
    <w:rsid w:val="5E167440"/>
    <w:rsid w:val="5E1753DB"/>
    <w:rsid w:val="5E192A8C"/>
    <w:rsid w:val="5E1E00A2"/>
    <w:rsid w:val="5E1E62F4"/>
    <w:rsid w:val="5E23390B"/>
    <w:rsid w:val="5E23397E"/>
    <w:rsid w:val="5E2558D5"/>
    <w:rsid w:val="5E257683"/>
    <w:rsid w:val="5E2733FB"/>
    <w:rsid w:val="5E2751A9"/>
    <w:rsid w:val="5E287173"/>
    <w:rsid w:val="5E2A2EEB"/>
    <w:rsid w:val="5E2A4C99"/>
    <w:rsid w:val="5E2D6537"/>
    <w:rsid w:val="5E2E29DB"/>
    <w:rsid w:val="5E2F405E"/>
    <w:rsid w:val="5E323B4E"/>
    <w:rsid w:val="5E324AF8"/>
    <w:rsid w:val="5E345B18"/>
    <w:rsid w:val="5E3478C6"/>
    <w:rsid w:val="5E3706B3"/>
    <w:rsid w:val="5E394EDC"/>
    <w:rsid w:val="5E3D2C1E"/>
    <w:rsid w:val="5E3D49CC"/>
    <w:rsid w:val="5E4044BD"/>
    <w:rsid w:val="5E451AD3"/>
    <w:rsid w:val="5E483371"/>
    <w:rsid w:val="5E484209"/>
    <w:rsid w:val="5E4B6C09"/>
    <w:rsid w:val="5E4C188F"/>
    <w:rsid w:val="5E4C2E61"/>
    <w:rsid w:val="5E4E6BDA"/>
    <w:rsid w:val="5E4F014E"/>
    <w:rsid w:val="5E4F2952"/>
    <w:rsid w:val="5E4F64AE"/>
    <w:rsid w:val="5E5166CA"/>
    <w:rsid w:val="5E5230B5"/>
    <w:rsid w:val="5E5341F0"/>
    <w:rsid w:val="5E563CE0"/>
    <w:rsid w:val="5E565871"/>
    <w:rsid w:val="5E581806"/>
    <w:rsid w:val="5E5835B4"/>
    <w:rsid w:val="5E59557E"/>
    <w:rsid w:val="5E5A37D0"/>
    <w:rsid w:val="5E5B12F6"/>
    <w:rsid w:val="5E5B30A5"/>
    <w:rsid w:val="5E5B7AAE"/>
    <w:rsid w:val="5E6072DD"/>
    <w:rsid w:val="5E624433"/>
    <w:rsid w:val="5E631F59"/>
    <w:rsid w:val="5E666027"/>
    <w:rsid w:val="5E6F6B50"/>
    <w:rsid w:val="5E710FB1"/>
    <w:rsid w:val="5E72701B"/>
    <w:rsid w:val="5E7303EE"/>
    <w:rsid w:val="5E744166"/>
    <w:rsid w:val="5E785A05"/>
    <w:rsid w:val="5E7B3747"/>
    <w:rsid w:val="5E7B54F5"/>
    <w:rsid w:val="5E7B72A3"/>
    <w:rsid w:val="5E7E2E48"/>
    <w:rsid w:val="5E7E6D93"/>
    <w:rsid w:val="5E7F3237"/>
    <w:rsid w:val="5E7F4FE5"/>
    <w:rsid w:val="5E805BF1"/>
    <w:rsid w:val="5E84014A"/>
    <w:rsid w:val="5E850121"/>
    <w:rsid w:val="5E860320"/>
    <w:rsid w:val="5E8720EC"/>
    <w:rsid w:val="5E8A398A"/>
    <w:rsid w:val="5E8A3FBC"/>
    <w:rsid w:val="5E8A5738"/>
    <w:rsid w:val="5E8C5954"/>
    <w:rsid w:val="5E8E6FD6"/>
    <w:rsid w:val="5E8F2D4E"/>
    <w:rsid w:val="5E9071F2"/>
    <w:rsid w:val="5E914D18"/>
    <w:rsid w:val="5E93283E"/>
    <w:rsid w:val="5E9367AF"/>
    <w:rsid w:val="5E9503D7"/>
    <w:rsid w:val="5E96232F"/>
    <w:rsid w:val="5E9842F9"/>
    <w:rsid w:val="5E9860A7"/>
    <w:rsid w:val="5E99597B"/>
    <w:rsid w:val="5E9A3AB1"/>
    <w:rsid w:val="5E9B16F3"/>
    <w:rsid w:val="5E9B7945"/>
    <w:rsid w:val="5E9D546B"/>
    <w:rsid w:val="5EA031AD"/>
    <w:rsid w:val="5EA44A4C"/>
    <w:rsid w:val="5EA467FA"/>
    <w:rsid w:val="5EA507C4"/>
    <w:rsid w:val="5EA54320"/>
    <w:rsid w:val="5EA902B4"/>
    <w:rsid w:val="5EA93E10"/>
    <w:rsid w:val="5EAC38A1"/>
    <w:rsid w:val="5EAC56AE"/>
    <w:rsid w:val="5EAD25AF"/>
    <w:rsid w:val="5EAD7356"/>
    <w:rsid w:val="5EB10F16"/>
    <w:rsid w:val="5EB17168"/>
    <w:rsid w:val="5EB34C8F"/>
    <w:rsid w:val="5EB506B9"/>
    <w:rsid w:val="5EB822A5"/>
    <w:rsid w:val="5EB82CA6"/>
    <w:rsid w:val="5EB86749"/>
    <w:rsid w:val="5EBB7FE7"/>
    <w:rsid w:val="5EBD78BB"/>
    <w:rsid w:val="5EBE53E1"/>
    <w:rsid w:val="5EBF3633"/>
    <w:rsid w:val="5EC21376"/>
    <w:rsid w:val="5EC56770"/>
    <w:rsid w:val="5ECB022A"/>
    <w:rsid w:val="5ECB647C"/>
    <w:rsid w:val="5ECC3D6F"/>
    <w:rsid w:val="5ECC5D50"/>
    <w:rsid w:val="5ECC7AFE"/>
    <w:rsid w:val="5ECD0B1B"/>
    <w:rsid w:val="5ECE1AC8"/>
    <w:rsid w:val="5ED03A93"/>
    <w:rsid w:val="5ED052C1"/>
    <w:rsid w:val="5ED4728A"/>
    <w:rsid w:val="5ED56E00"/>
    <w:rsid w:val="5ED61133"/>
    <w:rsid w:val="5ED82947"/>
    <w:rsid w:val="5ED846F5"/>
    <w:rsid w:val="5ED85791"/>
    <w:rsid w:val="5EDA66BF"/>
    <w:rsid w:val="5EDC0F6E"/>
    <w:rsid w:val="5EDF3926"/>
    <w:rsid w:val="5EE017FC"/>
    <w:rsid w:val="5EE17A4E"/>
    <w:rsid w:val="5EE25574"/>
    <w:rsid w:val="5EE4309A"/>
    <w:rsid w:val="5EE4753E"/>
    <w:rsid w:val="5EE65064"/>
    <w:rsid w:val="5EE906B0"/>
    <w:rsid w:val="5EE96902"/>
    <w:rsid w:val="5EEA3AE8"/>
    <w:rsid w:val="5EEA61D6"/>
    <w:rsid w:val="5EEC63F2"/>
    <w:rsid w:val="5EEE3F19"/>
    <w:rsid w:val="5EF13A09"/>
    <w:rsid w:val="5EF157B7"/>
    <w:rsid w:val="5EF414B4"/>
    <w:rsid w:val="5EF41AEB"/>
    <w:rsid w:val="5EF57055"/>
    <w:rsid w:val="5EF7101F"/>
    <w:rsid w:val="5EFB03E4"/>
    <w:rsid w:val="5EFF1C82"/>
    <w:rsid w:val="5EFF6126"/>
    <w:rsid w:val="5F0059FA"/>
    <w:rsid w:val="5F0157EA"/>
    <w:rsid w:val="5F025C16"/>
    <w:rsid w:val="5F0279C4"/>
    <w:rsid w:val="5F074FDA"/>
    <w:rsid w:val="5F090D52"/>
    <w:rsid w:val="5F0B0627"/>
    <w:rsid w:val="5F0D3DD3"/>
    <w:rsid w:val="5F105C3D"/>
    <w:rsid w:val="5F1119B5"/>
    <w:rsid w:val="5F117C07"/>
    <w:rsid w:val="5F166FCB"/>
    <w:rsid w:val="5F17346F"/>
    <w:rsid w:val="5F180EE5"/>
    <w:rsid w:val="5F1A2F60"/>
    <w:rsid w:val="5F1C2834"/>
    <w:rsid w:val="5F1D47FE"/>
    <w:rsid w:val="5F1F0E01"/>
    <w:rsid w:val="5F1F2324"/>
    <w:rsid w:val="5F1F3B6A"/>
    <w:rsid w:val="5F1F40D2"/>
    <w:rsid w:val="5F1F7677"/>
    <w:rsid w:val="5F21609C"/>
    <w:rsid w:val="5F223BC2"/>
    <w:rsid w:val="5F225970"/>
    <w:rsid w:val="5F2405EC"/>
    <w:rsid w:val="5F2416E8"/>
    <w:rsid w:val="5F245B8C"/>
    <w:rsid w:val="5F2636B2"/>
    <w:rsid w:val="5F265461"/>
    <w:rsid w:val="5F27742B"/>
    <w:rsid w:val="5F2D2C93"/>
    <w:rsid w:val="5F2E3428"/>
    <w:rsid w:val="5F304531"/>
    <w:rsid w:val="5F311A8C"/>
    <w:rsid w:val="5F3202A9"/>
    <w:rsid w:val="5F32177B"/>
    <w:rsid w:val="5F322057"/>
    <w:rsid w:val="5F3538F6"/>
    <w:rsid w:val="5F385194"/>
    <w:rsid w:val="5F39021E"/>
    <w:rsid w:val="5F3A6F57"/>
    <w:rsid w:val="5F3A715E"/>
    <w:rsid w:val="5F3B61B3"/>
    <w:rsid w:val="5F3C5F70"/>
    <w:rsid w:val="5F3D27AA"/>
    <w:rsid w:val="5F3F29C6"/>
    <w:rsid w:val="5F3F4774"/>
    <w:rsid w:val="5F447FDD"/>
    <w:rsid w:val="5F465B03"/>
    <w:rsid w:val="5F4678B1"/>
    <w:rsid w:val="5F473629"/>
    <w:rsid w:val="5F48187B"/>
    <w:rsid w:val="5F487ACD"/>
    <w:rsid w:val="5F4B136B"/>
    <w:rsid w:val="5F4E6098"/>
    <w:rsid w:val="5F4E6765"/>
    <w:rsid w:val="5F50072F"/>
    <w:rsid w:val="5F530220"/>
    <w:rsid w:val="5F542CA1"/>
    <w:rsid w:val="5F555D46"/>
    <w:rsid w:val="5F574879"/>
    <w:rsid w:val="5F585836"/>
    <w:rsid w:val="5F586378"/>
    <w:rsid w:val="5F5875E4"/>
    <w:rsid w:val="5F593A88"/>
    <w:rsid w:val="5F596331"/>
    <w:rsid w:val="5F5A335C"/>
    <w:rsid w:val="5F5F0972"/>
    <w:rsid w:val="5F5F2560"/>
    <w:rsid w:val="5F5F6BC4"/>
    <w:rsid w:val="5F6146EB"/>
    <w:rsid w:val="5F64242D"/>
    <w:rsid w:val="5F655DAB"/>
    <w:rsid w:val="5F667F53"/>
    <w:rsid w:val="5F681F1D"/>
    <w:rsid w:val="5F683CCB"/>
    <w:rsid w:val="5F697A43"/>
    <w:rsid w:val="5F6B1C1D"/>
    <w:rsid w:val="5F6B7317"/>
    <w:rsid w:val="5F6D12E1"/>
    <w:rsid w:val="5F71128A"/>
    <w:rsid w:val="5F7206A6"/>
    <w:rsid w:val="5F7408C2"/>
    <w:rsid w:val="5F750196"/>
    <w:rsid w:val="5F750250"/>
    <w:rsid w:val="5F772160"/>
    <w:rsid w:val="5F797C86"/>
    <w:rsid w:val="5F7A39FE"/>
    <w:rsid w:val="5F8108E9"/>
    <w:rsid w:val="5F8215E5"/>
    <w:rsid w:val="5F8328B3"/>
    <w:rsid w:val="5F832D98"/>
    <w:rsid w:val="5F84662B"/>
    <w:rsid w:val="5F85487D"/>
    <w:rsid w:val="5F893C3D"/>
    <w:rsid w:val="5F893C41"/>
    <w:rsid w:val="5F8B79B9"/>
    <w:rsid w:val="5F8D3732"/>
    <w:rsid w:val="5F8E28F9"/>
    <w:rsid w:val="5F8E3006"/>
    <w:rsid w:val="5F900A45"/>
    <w:rsid w:val="5F903222"/>
    <w:rsid w:val="5F904772"/>
    <w:rsid w:val="5F917744"/>
    <w:rsid w:val="5F920D48"/>
    <w:rsid w:val="5F944AC0"/>
    <w:rsid w:val="5F955517"/>
    <w:rsid w:val="5F9920D6"/>
    <w:rsid w:val="5F9A5E4E"/>
    <w:rsid w:val="5F9F3465"/>
    <w:rsid w:val="5FA01F9D"/>
    <w:rsid w:val="5FA148BD"/>
    <w:rsid w:val="5FA36AB1"/>
    <w:rsid w:val="5FA647F3"/>
    <w:rsid w:val="5FA665A1"/>
    <w:rsid w:val="5FAD6EB4"/>
    <w:rsid w:val="5FAF36A8"/>
    <w:rsid w:val="5FB04FF9"/>
    <w:rsid w:val="5FB32A6C"/>
    <w:rsid w:val="5FB40CBE"/>
    <w:rsid w:val="5FB46F10"/>
    <w:rsid w:val="5FB962D5"/>
    <w:rsid w:val="5FBA204D"/>
    <w:rsid w:val="5FBB1776"/>
    <w:rsid w:val="5FBC5DC5"/>
    <w:rsid w:val="5FBC7B73"/>
    <w:rsid w:val="5FBE1B3D"/>
    <w:rsid w:val="5FBF0F0E"/>
    <w:rsid w:val="5FBF6023"/>
    <w:rsid w:val="5FBF69B6"/>
    <w:rsid w:val="5FC41398"/>
    <w:rsid w:val="5FC52ECB"/>
    <w:rsid w:val="5FC627A0"/>
    <w:rsid w:val="5FC77D19"/>
    <w:rsid w:val="5FCA04E2"/>
    <w:rsid w:val="5FCA6734"/>
    <w:rsid w:val="5FCD3B2E"/>
    <w:rsid w:val="5FCD3B8B"/>
    <w:rsid w:val="5FCD48D6"/>
    <w:rsid w:val="5FCF3D4A"/>
    <w:rsid w:val="5FCF5AF8"/>
    <w:rsid w:val="5FD17AC2"/>
    <w:rsid w:val="5FD362BC"/>
    <w:rsid w:val="5FD41360"/>
    <w:rsid w:val="5FD50C35"/>
    <w:rsid w:val="5FD650D9"/>
    <w:rsid w:val="5FD7522C"/>
    <w:rsid w:val="5FDC772C"/>
    <w:rsid w:val="5FDF108A"/>
    <w:rsid w:val="5FDF3861"/>
    <w:rsid w:val="5FE02D71"/>
    <w:rsid w:val="5FE13A7D"/>
    <w:rsid w:val="5FE1582B"/>
    <w:rsid w:val="5FE315A4"/>
    <w:rsid w:val="5FE41E12"/>
    <w:rsid w:val="5FE570CA"/>
    <w:rsid w:val="5FE62E42"/>
    <w:rsid w:val="5FEA0B84"/>
    <w:rsid w:val="5FEA2932"/>
    <w:rsid w:val="5FEA30B3"/>
    <w:rsid w:val="5FEB1B9D"/>
    <w:rsid w:val="5FEB4543"/>
    <w:rsid w:val="5FEC48FC"/>
    <w:rsid w:val="5FED5F7E"/>
    <w:rsid w:val="5FEF1CF6"/>
    <w:rsid w:val="5FEF619A"/>
    <w:rsid w:val="5FEF7F48"/>
    <w:rsid w:val="5FF11F12"/>
    <w:rsid w:val="5FF217E7"/>
    <w:rsid w:val="5FF27A39"/>
    <w:rsid w:val="5FF437B1"/>
    <w:rsid w:val="5FF46D36"/>
    <w:rsid w:val="5FF64227"/>
    <w:rsid w:val="5FF91718"/>
    <w:rsid w:val="5FF92B75"/>
    <w:rsid w:val="5FF94823"/>
    <w:rsid w:val="5FFB4B3F"/>
    <w:rsid w:val="5FFC2665"/>
    <w:rsid w:val="5FFC4413"/>
    <w:rsid w:val="5FFE462F"/>
    <w:rsid w:val="5FFE63DD"/>
    <w:rsid w:val="60002155"/>
    <w:rsid w:val="600450EA"/>
    <w:rsid w:val="6005151A"/>
    <w:rsid w:val="60065292"/>
    <w:rsid w:val="60067040"/>
    <w:rsid w:val="600734E4"/>
    <w:rsid w:val="6008771C"/>
    <w:rsid w:val="600D4872"/>
    <w:rsid w:val="60107EBF"/>
    <w:rsid w:val="60116111"/>
    <w:rsid w:val="6011625E"/>
    <w:rsid w:val="60150B9A"/>
    <w:rsid w:val="60163727"/>
    <w:rsid w:val="601B2AEB"/>
    <w:rsid w:val="601D2D07"/>
    <w:rsid w:val="601E082E"/>
    <w:rsid w:val="601E25DC"/>
    <w:rsid w:val="601E438A"/>
    <w:rsid w:val="6025396A"/>
    <w:rsid w:val="60261BC5"/>
    <w:rsid w:val="602776E2"/>
    <w:rsid w:val="602B45A7"/>
    <w:rsid w:val="602F2A3B"/>
    <w:rsid w:val="602F47E9"/>
    <w:rsid w:val="6034779D"/>
    <w:rsid w:val="603911C4"/>
    <w:rsid w:val="603C32CD"/>
    <w:rsid w:val="603D5158"/>
    <w:rsid w:val="603D6F06"/>
    <w:rsid w:val="603E67DA"/>
    <w:rsid w:val="60400155"/>
    <w:rsid w:val="6042276E"/>
    <w:rsid w:val="60433DF0"/>
    <w:rsid w:val="60471B32"/>
    <w:rsid w:val="60477D84"/>
    <w:rsid w:val="60487F1F"/>
    <w:rsid w:val="604A517F"/>
    <w:rsid w:val="604C7149"/>
    <w:rsid w:val="604D2EC1"/>
    <w:rsid w:val="604D57AA"/>
    <w:rsid w:val="604F4E8B"/>
    <w:rsid w:val="6051475F"/>
    <w:rsid w:val="605204D7"/>
    <w:rsid w:val="605304A3"/>
    <w:rsid w:val="6054424F"/>
    <w:rsid w:val="60566219"/>
    <w:rsid w:val="605C0804"/>
    <w:rsid w:val="605C4EB2"/>
    <w:rsid w:val="60600E46"/>
    <w:rsid w:val="60602BF4"/>
    <w:rsid w:val="60624BBE"/>
    <w:rsid w:val="60625B06"/>
    <w:rsid w:val="60631B06"/>
    <w:rsid w:val="60636240"/>
    <w:rsid w:val="6065020A"/>
    <w:rsid w:val="606645B0"/>
    <w:rsid w:val="606721D5"/>
    <w:rsid w:val="60675D31"/>
    <w:rsid w:val="60681AA9"/>
    <w:rsid w:val="606E1F64"/>
    <w:rsid w:val="60732927"/>
    <w:rsid w:val="60762418"/>
    <w:rsid w:val="607641C6"/>
    <w:rsid w:val="60777FDD"/>
    <w:rsid w:val="60786190"/>
    <w:rsid w:val="607B17DC"/>
    <w:rsid w:val="607B695E"/>
    <w:rsid w:val="607B7A2E"/>
    <w:rsid w:val="607D5554"/>
    <w:rsid w:val="607E751E"/>
    <w:rsid w:val="607F676F"/>
    <w:rsid w:val="60806DF2"/>
    <w:rsid w:val="608130DF"/>
    <w:rsid w:val="60820DBC"/>
    <w:rsid w:val="60831C82"/>
    <w:rsid w:val="6085265B"/>
    <w:rsid w:val="60870181"/>
    <w:rsid w:val="608763D3"/>
    <w:rsid w:val="60883EF9"/>
    <w:rsid w:val="60887821"/>
    <w:rsid w:val="608A4105"/>
    <w:rsid w:val="608A5EC3"/>
    <w:rsid w:val="608F34D9"/>
    <w:rsid w:val="60911000"/>
    <w:rsid w:val="60912DAE"/>
    <w:rsid w:val="609334A3"/>
    <w:rsid w:val="60934D78"/>
    <w:rsid w:val="60936B26"/>
    <w:rsid w:val="60940AF0"/>
    <w:rsid w:val="609603C4"/>
    <w:rsid w:val="609664CC"/>
    <w:rsid w:val="60966616"/>
    <w:rsid w:val="6098238E"/>
    <w:rsid w:val="6098413C"/>
    <w:rsid w:val="60997EB4"/>
    <w:rsid w:val="609C21AA"/>
    <w:rsid w:val="609D4491"/>
    <w:rsid w:val="609E54CA"/>
    <w:rsid w:val="60A056E7"/>
    <w:rsid w:val="60A07495"/>
    <w:rsid w:val="60A24FBB"/>
    <w:rsid w:val="60A30D33"/>
    <w:rsid w:val="60A46F85"/>
    <w:rsid w:val="60A52CFD"/>
    <w:rsid w:val="60A56859"/>
    <w:rsid w:val="60A644EA"/>
    <w:rsid w:val="60A800F7"/>
    <w:rsid w:val="60A9459B"/>
    <w:rsid w:val="60AA20C1"/>
    <w:rsid w:val="60AE1BB1"/>
    <w:rsid w:val="60AE3960"/>
    <w:rsid w:val="60AF76D8"/>
    <w:rsid w:val="60B0559C"/>
    <w:rsid w:val="60B13450"/>
    <w:rsid w:val="60B151FE"/>
    <w:rsid w:val="60B47835"/>
    <w:rsid w:val="60B60A66"/>
    <w:rsid w:val="60B62814"/>
    <w:rsid w:val="60B71EF9"/>
    <w:rsid w:val="60B7289E"/>
    <w:rsid w:val="60BB607C"/>
    <w:rsid w:val="60BC29F1"/>
    <w:rsid w:val="60C018E5"/>
    <w:rsid w:val="60C2565D"/>
    <w:rsid w:val="60C44F62"/>
    <w:rsid w:val="60C72C73"/>
    <w:rsid w:val="60C74A21"/>
    <w:rsid w:val="60C969EB"/>
    <w:rsid w:val="60CA4511"/>
    <w:rsid w:val="60CE4002"/>
    <w:rsid w:val="60CE5E74"/>
    <w:rsid w:val="60D333C6"/>
    <w:rsid w:val="60D40EEC"/>
    <w:rsid w:val="60D44B41"/>
    <w:rsid w:val="60D4713E"/>
    <w:rsid w:val="60D62EB6"/>
    <w:rsid w:val="60D84E80"/>
    <w:rsid w:val="60D9225C"/>
    <w:rsid w:val="60DA09A8"/>
    <w:rsid w:val="60DA0BF8"/>
    <w:rsid w:val="60DB04CD"/>
    <w:rsid w:val="60DB671F"/>
    <w:rsid w:val="60DF1D6B"/>
    <w:rsid w:val="60E43825"/>
    <w:rsid w:val="60E4448C"/>
    <w:rsid w:val="60E455D3"/>
    <w:rsid w:val="60E76E71"/>
    <w:rsid w:val="60E90E3C"/>
    <w:rsid w:val="60EC092C"/>
    <w:rsid w:val="60EC16AB"/>
    <w:rsid w:val="60EC26DA"/>
    <w:rsid w:val="60EC6236"/>
    <w:rsid w:val="60EE1FAE"/>
    <w:rsid w:val="60EF0A8D"/>
    <w:rsid w:val="60EF5D26"/>
    <w:rsid w:val="60F11A9E"/>
    <w:rsid w:val="60F156B5"/>
    <w:rsid w:val="60F33A68"/>
    <w:rsid w:val="60F375C4"/>
    <w:rsid w:val="60F4333C"/>
    <w:rsid w:val="60F63F31"/>
    <w:rsid w:val="60F670B5"/>
    <w:rsid w:val="60F8107F"/>
    <w:rsid w:val="60FA4DF7"/>
    <w:rsid w:val="60FA6BA5"/>
    <w:rsid w:val="60FB1701"/>
    <w:rsid w:val="60FD0443"/>
    <w:rsid w:val="60FD0F2E"/>
    <w:rsid w:val="60FD48E7"/>
    <w:rsid w:val="60FF065F"/>
    <w:rsid w:val="60FF41BB"/>
    <w:rsid w:val="61007F33"/>
    <w:rsid w:val="610164CF"/>
    <w:rsid w:val="61023CAB"/>
    <w:rsid w:val="61047A23"/>
    <w:rsid w:val="61094D17"/>
    <w:rsid w:val="61094D40"/>
    <w:rsid w:val="610B0DB2"/>
    <w:rsid w:val="610E08A2"/>
    <w:rsid w:val="610E2650"/>
    <w:rsid w:val="610E7D0F"/>
    <w:rsid w:val="6110461A"/>
    <w:rsid w:val="61131A15"/>
    <w:rsid w:val="61194E90"/>
    <w:rsid w:val="611A7247"/>
    <w:rsid w:val="611B4D6D"/>
    <w:rsid w:val="611C318D"/>
    <w:rsid w:val="611D2893"/>
    <w:rsid w:val="61202383"/>
    <w:rsid w:val="6121185D"/>
    <w:rsid w:val="61215C6A"/>
    <w:rsid w:val="612260FC"/>
    <w:rsid w:val="612400C6"/>
    <w:rsid w:val="6126799A"/>
    <w:rsid w:val="61273712"/>
    <w:rsid w:val="61291238"/>
    <w:rsid w:val="612956DC"/>
    <w:rsid w:val="6129748A"/>
    <w:rsid w:val="612B3202"/>
    <w:rsid w:val="612B657A"/>
    <w:rsid w:val="612E684E"/>
    <w:rsid w:val="61300818"/>
    <w:rsid w:val="6131633F"/>
    <w:rsid w:val="61322AE1"/>
    <w:rsid w:val="61354081"/>
    <w:rsid w:val="61354A67"/>
    <w:rsid w:val="61357BDD"/>
    <w:rsid w:val="61371BA7"/>
    <w:rsid w:val="61377D95"/>
    <w:rsid w:val="61382586"/>
    <w:rsid w:val="6138591F"/>
    <w:rsid w:val="61397AE4"/>
    <w:rsid w:val="613D2F35"/>
    <w:rsid w:val="613F280A"/>
    <w:rsid w:val="613F6CAD"/>
    <w:rsid w:val="61410DD1"/>
    <w:rsid w:val="61412A26"/>
    <w:rsid w:val="614147D4"/>
    <w:rsid w:val="61434205"/>
    <w:rsid w:val="6144072B"/>
    <w:rsid w:val="61442516"/>
    <w:rsid w:val="61462A30"/>
    <w:rsid w:val="614B5652"/>
    <w:rsid w:val="614C4F26"/>
    <w:rsid w:val="614E0C9F"/>
    <w:rsid w:val="614F44F1"/>
    <w:rsid w:val="61507A7B"/>
    <w:rsid w:val="6151253D"/>
    <w:rsid w:val="61534507"/>
    <w:rsid w:val="6155027F"/>
    <w:rsid w:val="615547CC"/>
    <w:rsid w:val="6156331E"/>
    <w:rsid w:val="61572249"/>
    <w:rsid w:val="615838CB"/>
    <w:rsid w:val="61587D6F"/>
    <w:rsid w:val="615A3AE7"/>
    <w:rsid w:val="615C785F"/>
    <w:rsid w:val="615F10FE"/>
    <w:rsid w:val="6162474A"/>
    <w:rsid w:val="61656B01"/>
    <w:rsid w:val="6166248C"/>
    <w:rsid w:val="6168596C"/>
    <w:rsid w:val="61695AD8"/>
    <w:rsid w:val="616B1851"/>
    <w:rsid w:val="616B40B4"/>
    <w:rsid w:val="616D5E79"/>
    <w:rsid w:val="616E7E64"/>
    <w:rsid w:val="616F3EC5"/>
    <w:rsid w:val="61700C15"/>
    <w:rsid w:val="61706E67"/>
    <w:rsid w:val="61720E31"/>
    <w:rsid w:val="61721CA7"/>
    <w:rsid w:val="61722BDF"/>
    <w:rsid w:val="61736957"/>
    <w:rsid w:val="61761FA3"/>
    <w:rsid w:val="617701F5"/>
    <w:rsid w:val="61785D1C"/>
    <w:rsid w:val="617A5F38"/>
    <w:rsid w:val="617A7CE6"/>
    <w:rsid w:val="617F52FC"/>
    <w:rsid w:val="61812E22"/>
    <w:rsid w:val="6183303E"/>
    <w:rsid w:val="61840B64"/>
    <w:rsid w:val="618741B1"/>
    <w:rsid w:val="61882403"/>
    <w:rsid w:val="61891CD7"/>
    <w:rsid w:val="618E553F"/>
    <w:rsid w:val="619012B7"/>
    <w:rsid w:val="61903065"/>
    <w:rsid w:val="61925D98"/>
    <w:rsid w:val="61926DDD"/>
    <w:rsid w:val="61954B1F"/>
    <w:rsid w:val="61972646"/>
    <w:rsid w:val="619743F4"/>
    <w:rsid w:val="61994610"/>
    <w:rsid w:val="619A3EE4"/>
    <w:rsid w:val="619A6E81"/>
    <w:rsid w:val="61A11716"/>
    <w:rsid w:val="61A15272"/>
    <w:rsid w:val="61A44D62"/>
    <w:rsid w:val="61A62889"/>
    <w:rsid w:val="61A94127"/>
    <w:rsid w:val="61B03707"/>
    <w:rsid w:val="61B34FA6"/>
    <w:rsid w:val="61B551CA"/>
    <w:rsid w:val="61B825BC"/>
    <w:rsid w:val="61BA22D6"/>
    <w:rsid w:val="61BB6C21"/>
    <w:rsid w:val="61BC02FE"/>
    <w:rsid w:val="61BC3E5A"/>
    <w:rsid w:val="61BE5E24"/>
    <w:rsid w:val="61C176C2"/>
    <w:rsid w:val="61C62F2B"/>
    <w:rsid w:val="61C947C9"/>
    <w:rsid w:val="61C96577"/>
    <w:rsid w:val="61CF0031"/>
    <w:rsid w:val="61D05B58"/>
    <w:rsid w:val="61D4389A"/>
    <w:rsid w:val="61D513C0"/>
    <w:rsid w:val="61D54F1C"/>
    <w:rsid w:val="61D75138"/>
    <w:rsid w:val="61DB4C28"/>
    <w:rsid w:val="61DB6BD8"/>
    <w:rsid w:val="61DC44FC"/>
    <w:rsid w:val="61DC563C"/>
    <w:rsid w:val="61DE0EB4"/>
    <w:rsid w:val="61DF3FED"/>
    <w:rsid w:val="61DF5D9B"/>
    <w:rsid w:val="61E15FB7"/>
    <w:rsid w:val="61E3588B"/>
    <w:rsid w:val="61E643A1"/>
    <w:rsid w:val="61E67129"/>
    <w:rsid w:val="61E84C4F"/>
    <w:rsid w:val="61E86C56"/>
    <w:rsid w:val="61E91EFB"/>
    <w:rsid w:val="61EB2991"/>
    <w:rsid w:val="61EE5FDE"/>
    <w:rsid w:val="61EF4230"/>
    <w:rsid w:val="61F061FA"/>
    <w:rsid w:val="61F1110B"/>
    <w:rsid w:val="61F25ACE"/>
    <w:rsid w:val="61F515AC"/>
    <w:rsid w:val="61F53810"/>
    <w:rsid w:val="61F71336"/>
    <w:rsid w:val="61F9789D"/>
    <w:rsid w:val="61FA4982"/>
    <w:rsid w:val="61FC06FB"/>
    <w:rsid w:val="61FF0E6B"/>
    <w:rsid w:val="620121B5"/>
    <w:rsid w:val="62031A89"/>
    <w:rsid w:val="62053A53"/>
    <w:rsid w:val="62061EA0"/>
    <w:rsid w:val="62066C0B"/>
    <w:rsid w:val="620677CB"/>
    <w:rsid w:val="620852F1"/>
    <w:rsid w:val="620D2908"/>
    <w:rsid w:val="620D46B6"/>
    <w:rsid w:val="620F042E"/>
    <w:rsid w:val="620F48D2"/>
    <w:rsid w:val="620F67EC"/>
    <w:rsid w:val="62105334"/>
    <w:rsid w:val="62126170"/>
    <w:rsid w:val="62143C96"/>
    <w:rsid w:val="62173786"/>
    <w:rsid w:val="621A6DD3"/>
    <w:rsid w:val="622163B3"/>
    <w:rsid w:val="622540F5"/>
    <w:rsid w:val="62254213"/>
    <w:rsid w:val="622814F0"/>
    <w:rsid w:val="6229697B"/>
    <w:rsid w:val="622E7C1C"/>
    <w:rsid w:val="622F0AD0"/>
    <w:rsid w:val="622F6D22"/>
    <w:rsid w:val="6232236E"/>
    <w:rsid w:val="62353C0D"/>
    <w:rsid w:val="623600B0"/>
    <w:rsid w:val="62361E5F"/>
    <w:rsid w:val="62373E29"/>
    <w:rsid w:val="62377985"/>
    <w:rsid w:val="62382C58"/>
    <w:rsid w:val="6239194F"/>
    <w:rsid w:val="623E5FD0"/>
    <w:rsid w:val="623E6F65"/>
    <w:rsid w:val="623F31FD"/>
    <w:rsid w:val="62400FCB"/>
    <w:rsid w:val="62404A8B"/>
    <w:rsid w:val="62407622"/>
    <w:rsid w:val="62426A55"/>
    <w:rsid w:val="624562DE"/>
    <w:rsid w:val="62456545"/>
    <w:rsid w:val="62483940"/>
    <w:rsid w:val="62487DE4"/>
    <w:rsid w:val="624A3B5C"/>
    <w:rsid w:val="624A590A"/>
    <w:rsid w:val="624C78D4"/>
    <w:rsid w:val="624D0F56"/>
    <w:rsid w:val="624D53FA"/>
    <w:rsid w:val="62500A46"/>
    <w:rsid w:val="62503787"/>
    <w:rsid w:val="6252656D"/>
    <w:rsid w:val="62533923"/>
    <w:rsid w:val="625451B5"/>
    <w:rsid w:val="62570027"/>
    <w:rsid w:val="62586279"/>
    <w:rsid w:val="62593D9F"/>
    <w:rsid w:val="625B18C5"/>
    <w:rsid w:val="625C563D"/>
    <w:rsid w:val="625C5983"/>
    <w:rsid w:val="625C73EB"/>
    <w:rsid w:val="625E13B5"/>
    <w:rsid w:val="625E3163"/>
    <w:rsid w:val="62612D73"/>
    <w:rsid w:val="626369CC"/>
    <w:rsid w:val="626562A0"/>
    <w:rsid w:val="62685D90"/>
    <w:rsid w:val="626C3AD2"/>
    <w:rsid w:val="626C3ADE"/>
    <w:rsid w:val="626C70F7"/>
    <w:rsid w:val="626D784A"/>
    <w:rsid w:val="626F711E"/>
    <w:rsid w:val="627110E9"/>
    <w:rsid w:val="627209BD"/>
    <w:rsid w:val="62740BD9"/>
    <w:rsid w:val="627961EF"/>
    <w:rsid w:val="62797F9D"/>
    <w:rsid w:val="627D7A8D"/>
    <w:rsid w:val="627E55B4"/>
    <w:rsid w:val="627F30DF"/>
    <w:rsid w:val="628030DA"/>
    <w:rsid w:val="6280757E"/>
    <w:rsid w:val="62811DE4"/>
    <w:rsid w:val="628132A8"/>
    <w:rsid w:val="62816E52"/>
    <w:rsid w:val="62832BCA"/>
    <w:rsid w:val="628415EA"/>
    <w:rsid w:val="6286607D"/>
    <w:rsid w:val="628801E0"/>
    <w:rsid w:val="62885CDB"/>
    <w:rsid w:val="628C1A7E"/>
    <w:rsid w:val="628C5A67"/>
    <w:rsid w:val="628D3A49"/>
    <w:rsid w:val="628D57F7"/>
    <w:rsid w:val="629372B1"/>
    <w:rsid w:val="62967221"/>
    <w:rsid w:val="629A2B7E"/>
    <w:rsid w:val="629C012D"/>
    <w:rsid w:val="629E5C56"/>
    <w:rsid w:val="62A0552A"/>
    <w:rsid w:val="62A56FE4"/>
    <w:rsid w:val="62A72D5C"/>
    <w:rsid w:val="62A80882"/>
    <w:rsid w:val="62A96AD4"/>
    <w:rsid w:val="62B31701"/>
    <w:rsid w:val="62B611F1"/>
    <w:rsid w:val="62B62F9F"/>
    <w:rsid w:val="62B64D4D"/>
    <w:rsid w:val="62B86D17"/>
    <w:rsid w:val="62B92A90"/>
    <w:rsid w:val="62B9483E"/>
    <w:rsid w:val="62BA2508"/>
    <w:rsid w:val="62BB05B6"/>
    <w:rsid w:val="62BD432E"/>
    <w:rsid w:val="62BE4EA7"/>
    <w:rsid w:val="62BF00A6"/>
    <w:rsid w:val="62C456BC"/>
    <w:rsid w:val="62C51434"/>
    <w:rsid w:val="62C90F25"/>
    <w:rsid w:val="62CC27C3"/>
    <w:rsid w:val="62CD2097"/>
    <w:rsid w:val="62CF10C6"/>
    <w:rsid w:val="62CF7BBD"/>
    <w:rsid w:val="62D13935"/>
    <w:rsid w:val="62D376AD"/>
    <w:rsid w:val="62D60F4C"/>
    <w:rsid w:val="62D64D61"/>
    <w:rsid w:val="62D82F16"/>
    <w:rsid w:val="62DB0C58"/>
    <w:rsid w:val="62DD22DA"/>
    <w:rsid w:val="62DD4049"/>
    <w:rsid w:val="62DD677E"/>
    <w:rsid w:val="62DF1370"/>
    <w:rsid w:val="62DF1606"/>
    <w:rsid w:val="62E0001C"/>
    <w:rsid w:val="62E01DCA"/>
    <w:rsid w:val="62E21FE6"/>
    <w:rsid w:val="62E25B42"/>
    <w:rsid w:val="62E278F0"/>
    <w:rsid w:val="62E53885"/>
    <w:rsid w:val="62E551E2"/>
    <w:rsid w:val="62E573E1"/>
    <w:rsid w:val="62E713AB"/>
    <w:rsid w:val="62E95123"/>
    <w:rsid w:val="62EA49F7"/>
    <w:rsid w:val="62EA6483"/>
    <w:rsid w:val="62EC5DE5"/>
    <w:rsid w:val="62EE79D5"/>
    <w:rsid w:val="62F15D85"/>
    <w:rsid w:val="62F23D84"/>
    <w:rsid w:val="62F31AFE"/>
    <w:rsid w:val="62F37D50"/>
    <w:rsid w:val="62F51D1A"/>
    <w:rsid w:val="62F53AC8"/>
    <w:rsid w:val="62F615EE"/>
    <w:rsid w:val="62F64A26"/>
    <w:rsid w:val="62FA41FD"/>
    <w:rsid w:val="62FB09B2"/>
    <w:rsid w:val="62FE04A2"/>
    <w:rsid w:val="62FF4946"/>
    <w:rsid w:val="630006BE"/>
    <w:rsid w:val="630120EC"/>
    <w:rsid w:val="63016CD4"/>
    <w:rsid w:val="63035AB9"/>
    <w:rsid w:val="63051831"/>
    <w:rsid w:val="63062529"/>
    <w:rsid w:val="630755A9"/>
    <w:rsid w:val="63084640"/>
    <w:rsid w:val="630B32EB"/>
    <w:rsid w:val="630C2BBF"/>
    <w:rsid w:val="630C7063"/>
    <w:rsid w:val="630E06E5"/>
    <w:rsid w:val="630E4B89"/>
    <w:rsid w:val="630E6937"/>
    <w:rsid w:val="631101D6"/>
    <w:rsid w:val="63116428"/>
    <w:rsid w:val="631313CD"/>
    <w:rsid w:val="631657EC"/>
    <w:rsid w:val="631A1780"/>
    <w:rsid w:val="631D27A2"/>
    <w:rsid w:val="631E1E95"/>
    <w:rsid w:val="631F0B45"/>
    <w:rsid w:val="63225AEA"/>
    <w:rsid w:val="63237E7F"/>
    <w:rsid w:val="632443AD"/>
    <w:rsid w:val="63250F34"/>
    <w:rsid w:val="63251ED3"/>
    <w:rsid w:val="63253C81"/>
    <w:rsid w:val="632717A7"/>
    <w:rsid w:val="63274F95"/>
    <w:rsid w:val="63296040"/>
    <w:rsid w:val="632B573B"/>
    <w:rsid w:val="632C3261"/>
    <w:rsid w:val="632C5010"/>
    <w:rsid w:val="632F68AE"/>
    <w:rsid w:val="63316ACA"/>
    <w:rsid w:val="63332842"/>
    <w:rsid w:val="63350368"/>
    <w:rsid w:val="63352116"/>
    <w:rsid w:val="63367C3C"/>
    <w:rsid w:val="633D02FC"/>
    <w:rsid w:val="633F2F95"/>
    <w:rsid w:val="63424514"/>
    <w:rsid w:val="634405AB"/>
    <w:rsid w:val="634424A4"/>
    <w:rsid w:val="634560D1"/>
    <w:rsid w:val="63473BF7"/>
    <w:rsid w:val="634A45AF"/>
    <w:rsid w:val="634B193A"/>
    <w:rsid w:val="634D74F9"/>
    <w:rsid w:val="63500CFE"/>
    <w:rsid w:val="63512CC8"/>
    <w:rsid w:val="63520F1A"/>
    <w:rsid w:val="63525EB8"/>
    <w:rsid w:val="635527B8"/>
    <w:rsid w:val="63556314"/>
    <w:rsid w:val="6356208C"/>
    <w:rsid w:val="63576530"/>
    <w:rsid w:val="63585E05"/>
    <w:rsid w:val="63586960"/>
    <w:rsid w:val="635A7DCF"/>
    <w:rsid w:val="635B58F5"/>
    <w:rsid w:val="635D166D"/>
    <w:rsid w:val="635F53E5"/>
    <w:rsid w:val="6361084A"/>
    <w:rsid w:val="63612F0B"/>
    <w:rsid w:val="63620A31"/>
    <w:rsid w:val="636429FB"/>
    <w:rsid w:val="636522D0"/>
    <w:rsid w:val="636831B2"/>
    <w:rsid w:val="63690012"/>
    <w:rsid w:val="636A1027"/>
    <w:rsid w:val="636C18B0"/>
    <w:rsid w:val="636D310E"/>
    <w:rsid w:val="637003C1"/>
    <w:rsid w:val="637013A0"/>
    <w:rsid w:val="637075F2"/>
    <w:rsid w:val="63715118"/>
    <w:rsid w:val="6372336A"/>
    <w:rsid w:val="63732C3E"/>
    <w:rsid w:val="63750765"/>
    <w:rsid w:val="63754C08"/>
    <w:rsid w:val="637569B7"/>
    <w:rsid w:val="637846F9"/>
    <w:rsid w:val="637864A7"/>
    <w:rsid w:val="637A3FCD"/>
    <w:rsid w:val="637F15E3"/>
    <w:rsid w:val="637F3AF5"/>
    <w:rsid w:val="637F5A87"/>
    <w:rsid w:val="63822E81"/>
    <w:rsid w:val="63836843"/>
    <w:rsid w:val="63844E4C"/>
    <w:rsid w:val="63860BC4"/>
    <w:rsid w:val="638669E4"/>
    <w:rsid w:val="638E267F"/>
    <w:rsid w:val="639037F0"/>
    <w:rsid w:val="639257BA"/>
    <w:rsid w:val="63972DD1"/>
    <w:rsid w:val="63984453"/>
    <w:rsid w:val="639C27A7"/>
    <w:rsid w:val="639D7CBB"/>
    <w:rsid w:val="639F1C85"/>
    <w:rsid w:val="639F79E7"/>
    <w:rsid w:val="63A63014"/>
    <w:rsid w:val="63A86D8C"/>
    <w:rsid w:val="63A921DA"/>
    <w:rsid w:val="63AD6150"/>
    <w:rsid w:val="63AE1EC8"/>
    <w:rsid w:val="63AE3C76"/>
    <w:rsid w:val="63AE604C"/>
    <w:rsid w:val="63B05C41"/>
    <w:rsid w:val="63B3128D"/>
    <w:rsid w:val="63B472ED"/>
    <w:rsid w:val="63B47C16"/>
    <w:rsid w:val="63B73772"/>
    <w:rsid w:val="63B868A3"/>
    <w:rsid w:val="63BD1701"/>
    <w:rsid w:val="63BF5E84"/>
    <w:rsid w:val="63C35974"/>
    <w:rsid w:val="63C60FC0"/>
    <w:rsid w:val="63C82F8A"/>
    <w:rsid w:val="63C96D02"/>
    <w:rsid w:val="63CB2A7A"/>
    <w:rsid w:val="63CB4828"/>
    <w:rsid w:val="63CB65D6"/>
    <w:rsid w:val="63CE60C7"/>
    <w:rsid w:val="63CF256B"/>
    <w:rsid w:val="63D00091"/>
    <w:rsid w:val="63D336DD"/>
    <w:rsid w:val="63D47B81"/>
    <w:rsid w:val="63D57455"/>
    <w:rsid w:val="63D7141F"/>
    <w:rsid w:val="63D7745D"/>
    <w:rsid w:val="63D95197"/>
    <w:rsid w:val="63DA0F0F"/>
    <w:rsid w:val="63DF2082"/>
    <w:rsid w:val="63E1229E"/>
    <w:rsid w:val="63E15DFA"/>
    <w:rsid w:val="63E2236B"/>
    <w:rsid w:val="63E458EA"/>
    <w:rsid w:val="63E678B4"/>
    <w:rsid w:val="63E91153"/>
    <w:rsid w:val="63E92F01"/>
    <w:rsid w:val="63EB0A27"/>
    <w:rsid w:val="63EF496F"/>
    <w:rsid w:val="63F0428F"/>
    <w:rsid w:val="63F0603D"/>
    <w:rsid w:val="63F21E60"/>
    <w:rsid w:val="63F35B2D"/>
    <w:rsid w:val="63F41FD1"/>
    <w:rsid w:val="63F421F1"/>
    <w:rsid w:val="63F43D7F"/>
    <w:rsid w:val="63F83144"/>
    <w:rsid w:val="63FA0916"/>
    <w:rsid w:val="63FA6EBC"/>
    <w:rsid w:val="63FB1C97"/>
    <w:rsid w:val="63FB2F12"/>
    <w:rsid w:val="63FE69AC"/>
    <w:rsid w:val="63FF0976"/>
    <w:rsid w:val="63FF2724"/>
    <w:rsid w:val="64041AE8"/>
    <w:rsid w:val="64095351"/>
    <w:rsid w:val="640B10C9"/>
    <w:rsid w:val="640E7EF8"/>
    <w:rsid w:val="641053E9"/>
    <w:rsid w:val="64112768"/>
    <w:rsid w:val="641206A9"/>
    <w:rsid w:val="64122457"/>
    <w:rsid w:val="64124205"/>
    <w:rsid w:val="641336CD"/>
    <w:rsid w:val="64137F7D"/>
    <w:rsid w:val="64151F2C"/>
    <w:rsid w:val="64151F48"/>
    <w:rsid w:val="64152CCF"/>
    <w:rsid w:val="64153CF6"/>
    <w:rsid w:val="6415668A"/>
    <w:rsid w:val="64191A38"/>
    <w:rsid w:val="6419500B"/>
    <w:rsid w:val="64195594"/>
    <w:rsid w:val="641A130C"/>
    <w:rsid w:val="641B55C8"/>
    <w:rsid w:val="641C32D6"/>
    <w:rsid w:val="641C6E10"/>
    <w:rsid w:val="641F6922"/>
    <w:rsid w:val="64202DC6"/>
    <w:rsid w:val="64207A48"/>
    <w:rsid w:val="64216B3E"/>
    <w:rsid w:val="642301C1"/>
    <w:rsid w:val="6424211E"/>
    <w:rsid w:val="64267CB1"/>
    <w:rsid w:val="64283A29"/>
    <w:rsid w:val="642A59F3"/>
    <w:rsid w:val="642A77A1"/>
    <w:rsid w:val="642B3519"/>
    <w:rsid w:val="642B6B50"/>
    <w:rsid w:val="642D103F"/>
    <w:rsid w:val="642E372B"/>
    <w:rsid w:val="642E5DA1"/>
    <w:rsid w:val="642F2FDE"/>
    <w:rsid w:val="64357EF4"/>
    <w:rsid w:val="643979E4"/>
    <w:rsid w:val="643A5574"/>
    <w:rsid w:val="643B7C00"/>
    <w:rsid w:val="643C1282"/>
    <w:rsid w:val="643C5726"/>
    <w:rsid w:val="643E324C"/>
    <w:rsid w:val="643E4FFA"/>
    <w:rsid w:val="64412D3D"/>
    <w:rsid w:val="64426DE8"/>
    <w:rsid w:val="64487070"/>
    <w:rsid w:val="64487C27"/>
    <w:rsid w:val="6449399F"/>
    <w:rsid w:val="644A4C56"/>
    <w:rsid w:val="64511325"/>
    <w:rsid w:val="64520AA6"/>
    <w:rsid w:val="64540CC2"/>
    <w:rsid w:val="64552344"/>
    <w:rsid w:val="64572560"/>
    <w:rsid w:val="64587C66"/>
    <w:rsid w:val="64591E34"/>
    <w:rsid w:val="645A5BAC"/>
    <w:rsid w:val="645C1924"/>
    <w:rsid w:val="645E38EF"/>
    <w:rsid w:val="645E569D"/>
    <w:rsid w:val="6461518D"/>
    <w:rsid w:val="646507D9"/>
    <w:rsid w:val="64652C34"/>
    <w:rsid w:val="64654C7D"/>
    <w:rsid w:val="64656A2B"/>
    <w:rsid w:val="64680734"/>
    <w:rsid w:val="64680AA0"/>
    <w:rsid w:val="6468132B"/>
    <w:rsid w:val="646A5DEF"/>
    <w:rsid w:val="646B1B68"/>
    <w:rsid w:val="646D3B32"/>
    <w:rsid w:val="646F6DF8"/>
    <w:rsid w:val="646F78AA"/>
    <w:rsid w:val="64711BB5"/>
    <w:rsid w:val="647153D0"/>
    <w:rsid w:val="64722EF6"/>
    <w:rsid w:val="6472739A"/>
    <w:rsid w:val="6477050C"/>
    <w:rsid w:val="64790728"/>
    <w:rsid w:val="64794284"/>
    <w:rsid w:val="647A1DAB"/>
    <w:rsid w:val="64805613"/>
    <w:rsid w:val="64836EB1"/>
    <w:rsid w:val="648570CD"/>
    <w:rsid w:val="6488096B"/>
    <w:rsid w:val="64882719"/>
    <w:rsid w:val="648D1ADE"/>
    <w:rsid w:val="648F1CFA"/>
    <w:rsid w:val="648F65A8"/>
    <w:rsid w:val="64917820"/>
    <w:rsid w:val="649410BE"/>
    <w:rsid w:val="64942E6C"/>
    <w:rsid w:val="64992B79"/>
    <w:rsid w:val="649B1874"/>
    <w:rsid w:val="649B244D"/>
    <w:rsid w:val="649B41FB"/>
    <w:rsid w:val="649C7F73"/>
    <w:rsid w:val="649E018F"/>
    <w:rsid w:val="64A2285E"/>
    <w:rsid w:val="64A357A5"/>
    <w:rsid w:val="64A5151D"/>
    <w:rsid w:val="64A55079"/>
    <w:rsid w:val="64A70DF2"/>
    <w:rsid w:val="64A82DBC"/>
    <w:rsid w:val="64AA4ED7"/>
    <w:rsid w:val="64AC465A"/>
    <w:rsid w:val="64AD03D2"/>
    <w:rsid w:val="64B27796"/>
    <w:rsid w:val="64B452BD"/>
    <w:rsid w:val="64B61035"/>
    <w:rsid w:val="64B81251"/>
    <w:rsid w:val="64B8434A"/>
    <w:rsid w:val="64B96D77"/>
    <w:rsid w:val="64BE438D"/>
    <w:rsid w:val="64BE613B"/>
    <w:rsid w:val="64C01EB3"/>
    <w:rsid w:val="64C33752"/>
    <w:rsid w:val="64C73242"/>
    <w:rsid w:val="64CA2D32"/>
    <w:rsid w:val="64CC2606"/>
    <w:rsid w:val="64CE1ADF"/>
    <w:rsid w:val="64CF20F6"/>
    <w:rsid w:val="64D12312"/>
    <w:rsid w:val="64D63485"/>
    <w:rsid w:val="64D67929"/>
    <w:rsid w:val="64D81563"/>
    <w:rsid w:val="64D81A9A"/>
    <w:rsid w:val="64D836A1"/>
    <w:rsid w:val="64D84AEE"/>
    <w:rsid w:val="64D92F75"/>
    <w:rsid w:val="64D94D23"/>
    <w:rsid w:val="64DB4F3F"/>
    <w:rsid w:val="64DD55CE"/>
    <w:rsid w:val="64DE2339"/>
    <w:rsid w:val="64DF4A2F"/>
    <w:rsid w:val="64E04304"/>
    <w:rsid w:val="64E21E2A"/>
    <w:rsid w:val="64E35BA2"/>
    <w:rsid w:val="64E42046"/>
    <w:rsid w:val="64E5191A"/>
    <w:rsid w:val="64E75692"/>
    <w:rsid w:val="64E77440"/>
    <w:rsid w:val="64E9731B"/>
    <w:rsid w:val="64EA33D4"/>
    <w:rsid w:val="64ED46CA"/>
    <w:rsid w:val="64ED73BA"/>
    <w:rsid w:val="64EF4547"/>
    <w:rsid w:val="64F14763"/>
    <w:rsid w:val="64F47DAF"/>
    <w:rsid w:val="64F61D79"/>
    <w:rsid w:val="64F67403"/>
    <w:rsid w:val="64F8789F"/>
    <w:rsid w:val="64F953C5"/>
    <w:rsid w:val="64FB113D"/>
    <w:rsid w:val="650049A6"/>
    <w:rsid w:val="6502071E"/>
    <w:rsid w:val="6502427A"/>
    <w:rsid w:val="6502545F"/>
    <w:rsid w:val="650520CD"/>
    <w:rsid w:val="65052950"/>
    <w:rsid w:val="65063DE0"/>
    <w:rsid w:val="65085608"/>
    <w:rsid w:val="65091AAC"/>
    <w:rsid w:val="6509385A"/>
    <w:rsid w:val="650D2C1F"/>
    <w:rsid w:val="650E3A02"/>
    <w:rsid w:val="65102E3B"/>
    <w:rsid w:val="651144BD"/>
    <w:rsid w:val="651421FF"/>
    <w:rsid w:val="651638D5"/>
    <w:rsid w:val="65165F77"/>
    <w:rsid w:val="65167D25"/>
    <w:rsid w:val="651915C4"/>
    <w:rsid w:val="651A5A67"/>
    <w:rsid w:val="651B17E0"/>
    <w:rsid w:val="651B358E"/>
    <w:rsid w:val="651E34F7"/>
    <w:rsid w:val="651E4C38"/>
    <w:rsid w:val="65200BA4"/>
    <w:rsid w:val="6520701D"/>
    <w:rsid w:val="6525440C"/>
    <w:rsid w:val="652561BA"/>
    <w:rsid w:val="65270184"/>
    <w:rsid w:val="65297A59"/>
    <w:rsid w:val="652A557F"/>
    <w:rsid w:val="652C12F7"/>
    <w:rsid w:val="652C7549"/>
    <w:rsid w:val="652E1513"/>
    <w:rsid w:val="6533428D"/>
    <w:rsid w:val="65336B29"/>
    <w:rsid w:val="65363F24"/>
    <w:rsid w:val="65386C6F"/>
    <w:rsid w:val="653D3504"/>
    <w:rsid w:val="653D7F10"/>
    <w:rsid w:val="653F54CE"/>
    <w:rsid w:val="65402FF4"/>
    <w:rsid w:val="65420B1A"/>
    <w:rsid w:val="65424FBE"/>
    <w:rsid w:val="65447901"/>
    <w:rsid w:val="6545060B"/>
    <w:rsid w:val="654523B9"/>
    <w:rsid w:val="65467FC8"/>
    <w:rsid w:val="6549634D"/>
    <w:rsid w:val="65497BF4"/>
    <w:rsid w:val="654A27C5"/>
    <w:rsid w:val="654A5952"/>
    <w:rsid w:val="654A5C21"/>
    <w:rsid w:val="654B66B5"/>
    <w:rsid w:val="654C3747"/>
    <w:rsid w:val="65515201"/>
    <w:rsid w:val="65515529"/>
    <w:rsid w:val="65556AA0"/>
    <w:rsid w:val="655645C6"/>
    <w:rsid w:val="65586590"/>
    <w:rsid w:val="65591B4C"/>
    <w:rsid w:val="655A39B5"/>
    <w:rsid w:val="655B1BDC"/>
    <w:rsid w:val="655B7E2E"/>
    <w:rsid w:val="655D7702"/>
    <w:rsid w:val="655F16CC"/>
    <w:rsid w:val="655F347A"/>
    <w:rsid w:val="65606279"/>
    <w:rsid w:val="656071F2"/>
    <w:rsid w:val="65613696"/>
    <w:rsid w:val="65652A5B"/>
    <w:rsid w:val="65670581"/>
    <w:rsid w:val="656767D3"/>
    <w:rsid w:val="65685D4E"/>
    <w:rsid w:val="656A1E1F"/>
    <w:rsid w:val="656E190F"/>
    <w:rsid w:val="656E7BE6"/>
    <w:rsid w:val="657047D8"/>
    <w:rsid w:val="65705687"/>
    <w:rsid w:val="65717652"/>
    <w:rsid w:val="65735178"/>
    <w:rsid w:val="657449B3"/>
    <w:rsid w:val="65750EF0"/>
    <w:rsid w:val="657607C4"/>
    <w:rsid w:val="65764C68"/>
    <w:rsid w:val="65766A16"/>
    <w:rsid w:val="65766C11"/>
    <w:rsid w:val="6578278E"/>
    <w:rsid w:val="657D1B52"/>
    <w:rsid w:val="657E7F74"/>
    <w:rsid w:val="65815AE7"/>
    <w:rsid w:val="6582360D"/>
    <w:rsid w:val="65847385"/>
    <w:rsid w:val="65864EAB"/>
    <w:rsid w:val="658729D1"/>
    <w:rsid w:val="65876E75"/>
    <w:rsid w:val="658B7132"/>
    <w:rsid w:val="658C6239"/>
    <w:rsid w:val="658D71C3"/>
    <w:rsid w:val="658E1FB1"/>
    <w:rsid w:val="65905D2A"/>
    <w:rsid w:val="659163EA"/>
    <w:rsid w:val="659550EE"/>
    <w:rsid w:val="65956E9C"/>
    <w:rsid w:val="659737D4"/>
    <w:rsid w:val="659832B3"/>
    <w:rsid w:val="65984BDE"/>
    <w:rsid w:val="6598698C"/>
    <w:rsid w:val="659A0956"/>
    <w:rsid w:val="659A2704"/>
    <w:rsid w:val="659B647C"/>
    <w:rsid w:val="659D0447"/>
    <w:rsid w:val="659F7D1B"/>
    <w:rsid w:val="65A05841"/>
    <w:rsid w:val="65A2780B"/>
    <w:rsid w:val="65A45331"/>
    <w:rsid w:val="65A6556F"/>
    <w:rsid w:val="65A750DC"/>
    <w:rsid w:val="65A90B99"/>
    <w:rsid w:val="65AB2B63"/>
    <w:rsid w:val="65AB5D20"/>
    <w:rsid w:val="65AC068A"/>
    <w:rsid w:val="65AD68DC"/>
    <w:rsid w:val="65AF4B51"/>
    <w:rsid w:val="65B23EF2"/>
    <w:rsid w:val="65B25CA0"/>
    <w:rsid w:val="65B65064"/>
    <w:rsid w:val="65B67155"/>
    <w:rsid w:val="65B732B6"/>
    <w:rsid w:val="65B8702E"/>
    <w:rsid w:val="65B975F2"/>
    <w:rsid w:val="65BA6903"/>
    <w:rsid w:val="65BC08CD"/>
    <w:rsid w:val="65C07C91"/>
    <w:rsid w:val="65C15EE3"/>
    <w:rsid w:val="65C23A09"/>
    <w:rsid w:val="65C634F9"/>
    <w:rsid w:val="65C63B99"/>
    <w:rsid w:val="65CB6D62"/>
    <w:rsid w:val="65CC6636"/>
    <w:rsid w:val="65CE23AE"/>
    <w:rsid w:val="65CE6852"/>
    <w:rsid w:val="65D025CA"/>
    <w:rsid w:val="65D2271B"/>
    <w:rsid w:val="65D24D0D"/>
    <w:rsid w:val="65D26342"/>
    <w:rsid w:val="65D335CC"/>
    <w:rsid w:val="65D35C16"/>
    <w:rsid w:val="65D3619D"/>
    <w:rsid w:val="65D5580B"/>
    <w:rsid w:val="65D65C50"/>
    <w:rsid w:val="65D73958"/>
    <w:rsid w:val="65D774B5"/>
    <w:rsid w:val="65D8322D"/>
    <w:rsid w:val="65DC2D1D"/>
    <w:rsid w:val="65DD6A95"/>
    <w:rsid w:val="65DE32B0"/>
    <w:rsid w:val="65DF280D"/>
    <w:rsid w:val="65E46075"/>
    <w:rsid w:val="65E63B9C"/>
    <w:rsid w:val="65E676F8"/>
    <w:rsid w:val="65E73470"/>
    <w:rsid w:val="65E91B04"/>
    <w:rsid w:val="65E9368C"/>
    <w:rsid w:val="65EB11B2"/>
    <w:rsid w:val="65ED136A"/>
    <w:rsid w:val="65ED4F2A"/>
    <w:rsid w:val="65EF127F"/>
    <w:rsid w:val="65EF1435"/>
    <w:rsid w:val="65F06E06"/>
    <w:rsid w:val="65F10296"/>
    <w:rsid w:val="65F51C0C"/>
    <w:rsid w:val="65F52031"/>
    <w:rsid w:val="65F53318"/>
    <w:rsid w:val="65F53DDF"/>
    <w:rsid w:val="65F81FBD"/>
    <w:rsid w:val="65F97EB8"/>
    <w:rsid w:val="65FA7647"/>
    <w:rsid w:val="65FD6839"/>
    <w:rsid w:val="66001F65"/>
    <w:rsid w:val="66003476"/>
    <w:rsid w:val="66014531"/>
    <w:rsid w:val="660404C6"/>
    <w:rsid w:val="66061B48"/>
    <w:rsid w:val="66065FEC"/>
    <w:rsid w:val="66081D64"/>
    <w:rsid w:val="6609788A"/>
    <w:rsid w:val="660A5ADC"/>
    <w:rsid w:val="660B3602"/>
    <w:rsid w:val="660B53B0"/>
    <w:rsid w:val="660B715E"/>
    <w:rsid w:val="660D1128"/>
    <w:rsid w:val="660F30F2"/>
    <w:rsid w:val="66100C18"/>
    <w:rsid w:val="66134265"/>
    <w:rsid w:val="66140709"/>
    <w:rsid w:val="66141B92"/>
    <w:rsid w:val="66157FDD"/>
    <w:rsid w:val="66171FA7"/>
    <w:rsid w:val="66173D55"/>
    <w:rsid w:val="66195D1F"/>
    <w:rsid w:val="661C3252"/>
    <w:rsid w:val="661C580F"/>
    <w:rsid w:val="661C75BD"/>
    <w:rsid w:val="661D6EE5"/>
    <w:rsid w:val="66212E26"/>
    <w:rsid w:val="66216982"/>
    <w:rsid w:val="66222D83"/>
    <w:rsid w:val="6623094C"/>
    <w:rsid w:val="662841B4"/>
    <w:rsid w:val="66287D10"/>
    <w:rsid w:val="66291A75"/>
    <w:rsid w:val="66297274"/>
    <w:rsid w:val="662A7F2C"/>
    <w:rsid w:val="662B6B28"/>
    <w:rsid w:val="662D0C77"/>
    <w:rsid w:val="662E109F"/>
    <w:rsid w:val="66303069"/>
    <w:rsid w:val="66325478"/>
    <w:rsid w:val="66342B59"/>
    <w:rsid w:val="6635067F"/>
    <w:rsid w:val="66363988"/>
    <w:rsid w:val="663743F7"/>
    <w:rsid w:val="66377F53"/>
    <w:rsid w:val="66384A6E"/>
    <w:rsid w:val="663A3EE7"/>
    <w:rsid w:val="663A5C95"/>
    <w:rsid w:val="663E0BF4"/>
    <w:rsid w:val="663E7534"/>
    <w:rsid w:val="66415276"/>
    <w:rsid w:val="66433CD3"/>
    <w:rsid w:val="66442670"/>
    <w:rsid w:val="664664BF"/>
    <w:rsid w:val="66482160"/>
    <w:rsid w:val="664B39FF"/>
    <w:rsid w:val="664D76BA"/>
    <w:rsid w:val="66501015"/>
    <w:rsid w:val="66521231"/>
    <w:rsid w:val="66524D8D"/>
    <w:rsid w:val="665723A3"/>
    <w:rsid w:val="66576847"/>
    <w:rsid w:val="665C20B0"/>
    <w:rsid w:val="665C23CF"/>
    <w:rsid w:val="665E7BD6"/>
    <w:rsid w:val="665F74AA"/>
    <w:rsid w:val="6663343E"/>
    <w:rsid w:val="66636F9A"/>
    <w:rsid w:val="666437C4"/>
    <w:rsid w:val="66660838"/>
    <w:rsid w:val="66661AB5"/>
    <w:rsid w:val="66664368"/>
    <w:rsid w:val="66676D2D"/>
    <w:rsid w:val="666A657B"/>
    <w:rsid w:val="666B22F3"/>
    <w:rsid w:val="666F3B91"/>
    <w:rsid w:val="66703465"/>
    <w:rsid w:val="66705C12"/>
    <w:rsid w:val="66723681"/>
    <w:rsid w:val="667440DC"/>
    <w:rsid w:val="667747F4"/>
    <w:rsid w:val="6678690F"/>
    <w:rsid w:val="667967BE"/>
    <w:rsid w:val="667B0788"/>
    <w:rsid w:val="667E51BF"/>
    <w:rsid w:val="667E5B82"/>
    <w:rsid w:val="66803B38"/>
    <w:rsid w:val="66807B4C"/>
    <w:rsid w:val="668606D7"/>
    <w:rsid w:val="66860EDB"/>
    <w:rsid w:val="66884C53"/>
    <w:rsid w:val="668A09CB"/>
    <w:rsid w:val="668A2779"/>
    <w:rsid w:val="668B029F"/>
    <w:rsid w:val="668C4743"/>
    <w:rsid w:val="668D04BB"/>
    <w:rsid w:val="668D20E3"/>
    <w:rsid w:val="668D2269"/>
    <w:rsid w:val="668D42E9"/>
    <w:rsid w:val="668F1B3D"/>
    <w:rsid w:val="668F7D8F"/>
    <w:rsid w:val="669453A6"/>
    <w:rsid w:val="6695125A"/>
    <w:rsid w:val="669730E8"/>
    <w:rsid w:val="66990C0E"/>
    <w:rsid w:val="66996E60"/>
    <w:rsid w:val="669A3257"/>
    <w:rsid w:val="669B2164"/>
    <w:rsid w:val="669C24AC"/>
    <w:rsid w:val="669E6224"/>
    <w:rsid w:val="669F783C"/>
    <w:rsid w:val="66A0319D"/>
    <w:rsid w:val="66A15D14"/>
    <w:rsid w:val="66A6332B"/>
    <w:rsid w:val="66A7157D"/>
    <w:rsid w:val="66A80E51"/>
    <w:rsid w:val="66A870A3"/>
    <w:rsid w:val="66AA2E1B"/>
    <w:rsid w:val="66AB0941"/>
    <w:rsid w:val="66AF21DF"/>
    <w:rsid w:val="66B141AA"/>
    <w:rsid w:val="66B3122D"/>
    <w:rsid w:val="66B5531C"/>
    <w:rsid w:val="66B94E0C"/>
    <w:rsid w:val="66B9509F"/>
    <w:rsid w:val="66BC2B4E"/>
    <w:rsid w:val="66C043ED"/>
    <w:rsid w:val="66C20165"/>
    <w:rsid w:val="66C27892"/>
    <w:rsid w:val="66C30D22"/>
    <w:rsid w:val="66C33EDD"/>
    <w:rsid w:val="66C44CB6"/>
    <w:rsid w:val="66C7577B"/>
    <w:rsid w:val="66C8504F"/>
    <w:rsid w:val="66CA36E1"/>
    <w:rsid w:val="66CB2085"/>
    <w:rsid w:val="66CD0775"/>
    <w:rsid w:val="66CD08B8"/>
    <w:rsid w:val="66CF4630"/>
    <w:rsid w:val="66D734E4"/>
    <w:rsid w:val="66D93700"/>
    <w:rsid w:val="66DB2FD4"/>
    <w:rsid w:val="66DB4D83"/>
    <w:rsid w:val="66DE0D17"/>
    <w:rsid w:val="66E0683D"/>
    <w:rsid w:val="66E225B5"/>
    <w:rsid w:val="66E3632D"/>
    <w:rsid w:val="66E612EE"/>
    <w:rsid w:val="66E71979"/>
    <w:rsid w:val="66E83943"/>
    <w:rsid w:val="66E83ACB"/>
    <w:rsid w:val="66EA1469"/>
    <w:rsid w:val="66EC0C69"/>
    <w:rsid w:val="66EC3434"/>
    <w:rsid w:val="66ED59C1"/>
    <w:rsid w:val="66EF5A68"/>
    <w:rsid w:val="66F26570"/>
    <w:rsid w:val="66F347C2"/>
    <w:rsid w:val="66F75934"/>
    <w:rsid w:val="66F916AD"/>
    <w:rsid w:val="66F9736F"/>
    <w:rsid w:val="66FD73EF"/>
    <w:rsid w:val="66FE2631"/>
    <w:rsid w:val="66FE4F15"/>
    <w:rsid w:val="67002A3B"/>
    <w:rsid w:val="670267B3"/>
    <w:rsid w:val="6703252B"/>
    <w:rsid w:val="670342D9"/>
    <w:rsid w:val="67050051"/>
    <w:rsid w:val="67075FC6"/>
    <w:rsid w:val="670A1B0C"/>
    <w:rsid w:val="670A38BA"/>
    <w:rsid w:val="670C7632"/>
    <w:rsid w:val="670D6C1F"/>
    <w:rsid w:val="670D6F06"/>
    <w:rsid w:val="6712481A"/>
    <w:rsid w:val="67127086"/>
    <w:rsid w:val="671309C0"/>
    <w:rsid w:val="67144738"/>
    <w:rsid w:val="67191B1C"/>
    <w:rsid w:val="67191D4F"/>
    <w:rsid w:val="67193AFD"/>
    <w:rsid w:val="671B5AC7"/>
    <w:rsid w:val="671D183F"/>
    <w:rsid w:val="671D35ED"/>
    <w:rsid w:val="671E7365"/>
    <w:rsid w:val="671F424D"/>
    <w:rsid w:val="671F55B7"/>
    <w:rsid w:val="67242BB4"/>
    <w:rsid w:val="672636AE"/>
    <w:rsid w:val="672755B0"/>
    <w:rsid w:val="672A1DD8"/>
    <w:rsid w:val="672C1A82"/>
    <w:rsid w:val="672C3830"/>
    <w:rsid w:val="672D0E56"/>
    <w:rsid w:val="672D1356"/>
    <w:rsid w:val="672E57FA"/>
    <w:rsid w:val="672F3320"/>
    <w:rsid w:val="673051D2"/>
    <w:rsid w:val="67310E46"/>
    <w:rsid w:val="67362901"/>
    <w:rsid w:val="6736645D"/>
    <w:rsid w:val="673D343E"/>
    <w:rsid w:val="673D3C8F"/>
    <w:rsid w:val="673F17B5"/>
    <w:rsid w:val="67423054"/>
    <w:rsid w:val="67437403"/>
    <w:rsid w:val="674476A9"/>
    <w:rsid w:val="67485393"/>
    <w:rsid w:val="67492634"/>
    <w:rsid w:val="674A015A"/>
    <w:rsid w:val="674C3CF0"/>
    <w:rsid w:val="674C5C80"/>
    <w:rsid w:val="674D37A6"/>
    <w:rsid w:val="674E075B"/>
    <w:rsid w:val="675039C2"/>
    <w:rsid w:val="67523C88"/>
    <w:rsid w:val="67535261"/>
    <w:rsid w:val="67550FD9"/>
    <w:rsid w:val="67566AFF"/>
    <w:rsid w:val="67580AC9"/>
    <w:rsid w:val="675B5EC3"/>
    <w:rsid w:val="675D1C3B"/>
    <w:rsid w:val="6760784A"/>
    <w:rsid w:val="67627252"/>
    <w:rsid w:val="6764746E"/>
    <w:rsid w:val="67650123"/>
    <w:rsid w:val="676502F9"/>
    <w:rsid w:val="67654F94"/>
    <w:rsid w:val="67656598"/>
    <w:rsid w:val="67656D42"/>
    <w:rsid w:val="676841BB"/>
    <w:rsid w:val="67694A84"/>
    <w:rsid w:val="67696832"/>
    <w:rsid w:val="67696AE0"/>
    <w:rsid w:val="676A4358"/>
    <w:rsid w:val="676D68B5"/>
    <w:rsid w:val="676E209B"/>
    <w:rsid w:val="676F196F"/>
    <w:rsid w:val="676F5DA7"/>
    <w:rsid w:val="67705E13"/>
    <w:rsid w:val="677156E7"/>
    <w:rsid w:val="67730FE6"/>
    <w:rsid w:val="67780823"/>
    <w:rsid w:val="67786A75"/>
    <w:rsid w:val="677A27ED"/>
    <w:rsid w:val="677B47B7"/>
    <w:rsid w:val="677D22DE"/>
    <w:rsid w:val="677D5E3A"/>
    <w:rsid w:val="677E1BB2"/>
    <w:rsid w:val="677E2CDE"/>
    <w:rsid w:val="67801DCE"/>
    <w:rsid w:val="6780592A"/>
    <w:rsid w:val="67816AD2"/>
    <w:rsid w:val="67825B46"/>
    <w:rsid w:val="678371C8"/>
    <w:rsid w:val="6787202D"/>
    <w:rsid w:val="6788395D"/>
    <w:rsid w:val="67890C82"/>
    <w:rsid w:val="678B1E3E"/>
    <w:rsid w:val="678B49FB"/>
    <w:rsid w:val="678C2521"/>
    <w:rsid w:val="678C32CE"/>
    <w:rsid w:val="678C42CF"/>
    <w:rsid w:val="678E6299"/>
    <w:rsid w:val="67917B37"/>
    <w:rsid w:val="6793565D"/>
    <w:rsid w:val="679413D5"/>
    <w:rsid w:val="67944D0A"/>
    <w:rsid w:val="67957627"/>
    <w:rsid w:val="6796339F"/>
    <w:rsid w:val="6796514D"/>
    <w:rsid w:val="67965B4A"/>
    <w:rsid w:val="67966EFB"/>
    <w:rsid w:val="67992D01"/>
    <w:rsid w:val="679A01CE"/>
    <w:rsid w:val="679B09B6"/>
    <w:rsid w:val="679B2764"/>
    <w:rsid w:val="679C6C08"/>
    <w:rsid w:val="679D4253"/>
    <w:rsid w:val="679D64DC"/>
    <w:rsid w:val="679F04A6"/>
    <w:rsid w:val="679F77CF"/>
    <w:rsid w:val="67A36984"/>
    <w:rsid w:val="67A42549"/>
    <w:rsid w:val="67A55390"/>
    <w:rsid w:val="67A91325"/>
    <w:rsid w:val="67AE51D8"/>
    <w:rsid w:val="67B11F87"/>
    <w:rsid w:val="67B13D35"/>
    <w:rsid w:val="67B57CC9"/>
    <w:rsid w:val="67B95BF1"/>
    <w:rsid w:val="67BA0E3C"/>
    <w:rsid w:val="67BC2E06"/>
    <w:rsid w:val="67BD092C"/>
    <w:rsid w:val="67BE45AB"/>
    <w:rsid w:val="67C1666E"/>
    <w:rsid w:val="67C2339D"/>
    <w:rsid w:val="67C24194"/>
    <w:rsid w:val="67C25F42"/>
    <w:rsid w:val="67C43A69"/>
    <w:rsid w:val="67C728FD"/>
    <w:rsid w:val="67C73559"/>
    <w:rsid w:val="67C779FD"/>
    <w:rsid w:val="67C83634"/>
    <w:rsid w:val="67CA4DF7"/>
    <w:rsid w:val="67CB3049"/>
    <w:rsid w:val="67CC0B6F"/>
    <w:rsid w:val="67CF4511"/>
    <w:rsid w:val="67CF5ED2"/>
    <w:rsid w:val="67D0240D"/>
    <w:rsid w:val="67D068B1"/>
    <w:rsid w:val="67D143D7"/>
    <w:rsid w:val="67D41CE4"/>
    <w:rsid w:val="67D6379C"/>
    <w:rsid w:val="67DA14DE"/>
    <w:rsid w:val="67DA7730"/>
    <w:rsid w:val="67DB285E"/>
    <w:rsid w:val="67DC5256"/>
    <w:rsid w:val="67DD0FCE"/>
    <w:rsid w:val="67DF6BD7"/>
    <w:rsid w:val="67E1461B"/>
    <w:rsid w:val="67E433FF"/>
    <w:rsid w:val="67EE6D37"/>
    <w:rsid w:val="67F325A0"/>
    <w:rsid w:val="67F3434E"/>
    <w:rsid w:val="67F500C6"/>
    <w:rsid w:val="67F56318"/>
    <w:rsid w:val="67F65BEC"/>
    <w:rsid w:val="67F85E08"/>
    <w:rsid w:val="67F862ED"/>
    <w:rsid w:val="67FA56DC"/>
    <w:rsid w:val="67FB3202"/>
    <w:rsid w:val="67FC1454"/>
    <w:rsid w:val="67FD1C48"/>
    <w:rsid w:val="67FF2CF3"/>
    <w:rsid w:val="68000819"/>
    <w:rsid w:val="68014CBD"/>
    <w:rsid w:val="68024591"/>
    <w:rsid w:val="68040309"/>
    <w:rsid w:val="68060525"/>
    <w:rsid w:val="68071BA7"/>
    <w:rsid w:val="68077DF9"/>
    <w:rsid w:val="6808604B"/>
    <w:rsid w:val="68091DC3"/>
    <w:rsid w:val="680931A7"/>
    <w:rsid w:val="680A62EC"/>
    <w:rsid w:val="680B5B3B"/>
    <w:rsid w:val="680D18B3"/>
    <w:rsid w:val="680E73DA"/>
    <w:rsid w:val="681010A3"/>
    <w:rsid w:val="68103152"/>
    <w:rsid w:val="68106CAE"/>
    <w:rsid w:val="68116E94"/>
    <w:rsid w:val="68124D12"/>
    <w:rsid w:val="68152516"/>
    <w:rsid w:val="681621B2"/>
    <w:rsid w:val="6817003C"/>
    <w:rsid w:val="68171A2C"/>
    <w:rsid w:val="681903F3"/>
    <w:rsid w:val="681D13CB"/>
    <w:rsid w:val="681F5143"/>
    <w:rsid w:val="68210EBB"/>
    <w:rsid w:val="68212C69"/>
    <w:rsid w:val="68242759"/>
    <w:rsid w:val="68246BFD"/>
    <w:rsid w:val="6826136B"/>
    <w:rsid w:val="6828218F"/>
    <w:rsid w:val="682B3AE8"/>
    <w:rsid w:val="682C260C"/>
    <w:rsid w:val="682D3D04"/>
    <w:rsid w:val="682D7860"/>
    <w:rsid w:val="682F0F8D"/>
    <w:rsid w:val="6830241D"/>
    <w:rsid w:val="683055A2"/>
    <w:rsid w:val="6833299C"/>
    <w:rsid w:val="68344483"/>
    <w:rsid w:val="683706DE"/>
    <w:rsid w:val="6837248C"/>
    <w:rsid w:val="683A1F7D"/>
    <w:rsid w:val="683A3D2B"/>
    <w:rsid w:val="683C3F47"/>
    <w:rsid w:val="683C5113"/>
    <w:rsid w:val="683C5CF5"/>
    <w:rsid w:val="683C7AA3"/>
    <w:rsid w:val="683E1A6D"/>
    <w:rsid w:val="683E5EB1"/>
    <w:rsid w:val="683F0D66"/>
    <w:rsid w:val="683F57E5"/>
    <w:rsid w:val="6841330B"/>
    <w:rsid w:val="68420E31"/>
    <w:rsid w:val="68466B73"/>
    <w:rsid w:val="68476448"/>
    <w:rsid w:val="684828EC"/>
    <w:rsid w:val="68494705"/>
    <w:rsid w:val="684A6627"/>
    <w:rsid w:val="684F3C7A"/>
    <w:rsid w:val="685017A0"/>
    <w:rsid w:val="68525518"/>
    <w:rsid w:val="685272C6"/>
    <w:rsid w:val="6854080E"/>
    <w:rsid w:val="6855236A"/>
    <w:rsid w:val="68555008"/>
    <w:rsid w:val="68570199"/>
    <w:rsid w:val="68580655"/>
    <w:rsid w:val="68595181"/>
    <w:rsid w:val="685F19E3"/>
    <w:rsid w:val="686314D3"/>
    <w:rsid w:val="6866030D"/>
    <w:rsid w:val="68660FC4"/>
    <w:rsid w:val="6868111E"/>
    <w:rsid w:val="68684D3C"/>
    <w:rsid w:val="686B482C"/>
    <w:rsid w:val="686B65DA"/>
    <w:rsid w:val="686D4869"/>
    <w:rsid w:val="686D76FB"/>
    <w:rsid w:val="686F60CA"/>
    <w:rsid w:val="68715B33"/>
    <w:rsid w:val="68721717"/>
    <w:rsid w:val="687436E1"/>
    <w:rsid w:val="6874526D"/>
    <w:rsid w:val="68750B51"/>
    <w:rsid w:val="68776D2D"/>
    <w:rsid w:val="6878475E"/>
    <w:rsid w:val="687A05CB"/>
    <w:rsid w:val="687C4343"/>
    <w:rsid w:val="687E3344"/>
    <w:rsid w:val="68802085"/>
    <w:rsid w:val="68815DFE"/>
    <w:rsid w:val="68817BAC"/>
    <w:rsid w:val="6884144A"/>
    <w:rsid w:val="688431F8"/>
    <w:rsid w:val="68863414"/>
    <w:rsid w:val="688803EC"/>
    <w:rsid w:val="6888718C"/>
    <w:rsid w:val="688A18E7"/>
    <w:rsid w:val="688A2F04"/>
    <w:rsid w:val="688D19A9"/>
    <w:rsid w:val="68906041"/>
    <w:rsid w:val="689478DF"/>
    <w:rsid w:val="6897117D"/>
    <w:rsid w:val="68975EF6"/>
    <w:rsid w:val="68981B21"/>
    <w:rsid w:val="68991B2C"/>
    <w:rsid w:val="68993147"/>
    <w:rsid w:val="689C49E5"/>
    <w:rsid w:val="689C52CA"/>
    <w:rsid w:val="689C6431"/>
    <w:rsid w:val="689C6793"/>
    <w:rsid w:val="68A044D6"/>
    <w:rsid w:val="68A1024E"/>
    <w:rsid w:val="68A11FFC"/>
    <w:rsid w:val="68A123C1"/>
    <w:rsid w:val="68A65864"/>
    <w:rsid w:val="68A72550"/>
    <w:rsid w:val="68AB3AA2"/>
    <w:rsid w:val="68AD09A1"/>
    <w:rsid w:val="68AE189D"/>
    <w:rsid w:val="68B27D65"/>
    <w:rsid w:val="68B47F81"/>
    <w:rsid w:val="68B57855"/>
    <w:rsid w:val="68B82E7C"/>
    <w:rsid w:val="68B97345"/>
    <w:rsid w:val="68BC4A27"/>
    <w:rsid w:val="68BC6E36"/>
    <w:rsid w:val="68BD30FE"/>
    <w:rsid w:val="68BF2482"/>
    <w:rsid w:val="68C006D4"/>
    <w:rsid w:val="68C04838"/>
    <w:rsid w:val="68C47A98"/>
    <w:rsid w:val="68C53F3C"/>
    <w:rsid w:val="68C74F83"/>
    <w:rsid w:val="68C857DA"/>
    <w:rsid w:val="68CA3301"/>
    <w:rsid w:val="68CA6D7A"/>
    <w:rsid w:val="68CA77A4"/>
    <w:rsid w:val="68CD7EB1"/>
    <w:rsid w:val="68CF0917"/>
    <w:rsid w:val="68D0468F"/>
    <w:rsid w:val="68D0643D"/>
    <w:rsid w:val="68D128E1"/>
    <w:rsid w:val="68D423D1"/>
    <w:rsid w:val="68D4417F"/>
    <w:rsid w:val="68D75168"/>
    <w:rsid w:val="68D777CC"/>
    <w:rsid w:val="68D93544"/>
    <w:rsid w:val="68D9718F"/>
    <w:rsid w:val="68DB550E"/>
    <w:rsid w:val="68DE4FFE"/>
    <w:rsid w:val="68DF6B1A"/>
    <w:rsid w:val="68E026E1"/>
    <w:rsid w:val="68E36491"/>
    <w:rsid w:val="68E42335"/>
    <w:rsid w:val="68E5013A"/>
    <w:rsid w:val="68E51EE8"/>
    <w:rsid w:val="68E5638C"/>
    <w:rsid w:val="68E57D0D"/>
    <w:rsid w:val="68E63EB3"/>
    <w:rsid w:val="68E65C61"/>
    <w:rsid w:val="68E72104"/>
    <w:rsid w:val="68E9209E"/>
    <w:rsid w:val="68EA39A3"/>
    <w:rsid w:val="68ED6FEF"/>
    <w:rsid w:val="68EF720B"/>
    <w:rsid w:val="68F0088D"/>
    <w:rsid w:val="68F13666"/>
    <w:rsid w:val="68F16ADF"/>
    <w:rsid w:val="68F23AF3"/>
    <w:rsid w:val="68F4037D"/>
    <w:rsid w:val="68F55EA4"/>
    <w:rsid w:val="68F640F6"/>
    <w:rsid w:val="68F77E6E"/>
    <w:rsid w:val="68F91E38"/>
    <w:rsid w:val="68F93BE6"/>
    <w:rsid w:val="68FE11FC"/>
    <w:rsid w:val="690031C6"/>
    <w:rsid w:val="69004F74"/>
    <w:rsid w:val="690305C1"/>
    <w:rsid w:val="6905258B"/>
    <w:rsid w:val="69054339"/>
    <w:rsid w:val="690577E1"/>
    <w:rsid w:val="690802CD"/>
    <w:rsid w:val="69083E29"/>
    <w:rsid w:val="69085BD7"/>
    <w:rsid w:val="690B56C7"/>
    <w:rsid w:val="690C3919"/>
    <w:rsid w:val="690D143F"/>
    <w:rsid w:val="690E3869"/>
    <w:rsid w:val="690E58E3"/>
    <w:rsid w:val="690F6F65"/>
    <w:rsid w:val="69110F2F"/>
    <w:rsid w:val="69117181"/>
    <w:rsid w:val="69132EFA"/>
    <w:rsid w:val="69135570"/>
    <w:rsid w:val="69136471"/>
    <w:rsid w:val="69166546"/>
    <w:rsid w:val="691862FC"/>
    <w:rsid w:val="691E189E"/>
    <w:rsid w:val="691E53FA"/>
    <w:rsid w:val="691F0D22"/>
    <w:rsid w:val="69205616"/>
    <w:rsid w:val="69207E48"/>
    <w:rsid w:val="6922313D"/>
    <w:rsid w:val="69223BD5"/>
    <w:rsid w:val="692557E1"/>
    <w:rsid w:val="69256789"/>
    <w:rsid w:val="692769A5"/>
    <w:rsid w:val="69286279"/>
    <w:rsid w:val="69293A97"/>
    <w:rsid w:val="69293DAF"/>
    <w:rsid w:val="69297796"/>
    <w:rsid w:val="692C7B17"/>
    <w:rsid w:val="692E7D33"/>
    <w:rsid w:val="692F2D98"/>
    <w:rsid w:val="692F585A"/>
    <w:rsid w:val="692F61D9"/>
    <w:rsid w:val="693115D2"/>
    <w:rsid w:val="693370F8"/>
    <w:rsid w:val="6934747A"/>
    <w:rsid w:val="69366BE8"/>
    <w:rsid w:val="693710DE"/>
    <w:rsid w:val="69382960"/>
    <w:rsid w:val="6938470E"/>
    <w:rsid w:val="69391E5C"/>
    <w:rsid w:val="693C3AD3"/>
    <w:rsid w:val="693C476F"/>
    <w:rsid w:val="693D709C"/>
    <w:rsid w:val="693E3CEF"/>
    <w:rsid w:val="693E5A9D"/>
    <w:rsid w:val="69407A67"/>
    <w:rsid w:val="694105EE"/>
    <w:rsid w:val="69423360"/>
    <w:rsid w:val="69431305"/>
    <w:rsid w:val="694330B3"/>
    <w:rsid w:val="69454B3C"/>
    <w:rsid w:val="6945507D"/>
    <w:rsid w:val="6945582E"/>
    <w:rsid w:val="69472BA3"/>
    <w:rsid w:val="69482477"/>
    <w:rsid w:val="694841AF"/>
    <w:rsid w:val="694A3FCB"/>
    <w:rsid w:val="694A61EF"/>
    <w:rsid w:val="694C01BA"/>
    <w:rsid w:val="694C1F68"/>
    <w:rsid w:val="694C5701"/>
    <w:rsid w:val="694F1A58"/>
    <w:rsid w:val="6953779A"/>
    <w:rsid w:val="695452C0"/>
    <w:rsid w:val="69547D42"/>
    <w:rsid w:val="69561038"/>
    <w:rsid w:val="69562DE6"/>
    <w:rsid w:val="69564B94"/>
    <w:rsid w:val="6958090C"/>
    <w:rsid w:val="69584DB0"/>
    <w:rsid w:val="69594684"/>
    <w:rsid w:val="695B5B89"/>
    <w:rsid w:val="695B664F"/>
    <w:rsid w:val="695F613F"/>
    <w:rsid w:val="69601EB7"/>
    <w:rsid w:val="69605A13"/>
    <w:rsid w:val="69620B1A"/>
    <w:rsid w:val="69635503"/>
    <w:rsid w:val="696848C8"/>
    <w:rsid w:val="696C7DCD"/>
    <w:rsid w:val="696E6382"/>
    <w:rsid w:val="697119CE"/>
    <w:rsid w:val="69717C20"/>
    <w:rsid w:val="69731BEA"/>
    <w:rsid w:val="69733998"/>
    <w:rsid w:val="69735746"/>
    <w:rsid w:val="6974326C"/>
    <w:rsid w:val="69747710"/>
    <w:rsid w:val="697531CB"/>
    <w:rsid w:val="69755D9C"/>
    <w:rsid w:val="6975655B"/>
    <w:rsid w:val="69766FE4"/>
    <w:rsid w:val="6979471D"/>
    <w:rsid w:val="69794D27"/>
    <w:rsid w:val="697B3FD6"/>
    <w:rsid w:val="697D4817"/>
    <w:rsid w:val="697D65C5"/>
    <w:rsid w:val="697F058F"/>
    <w:rsid w:val="69817558"/>
    <w:rsid w:val="69833DCE"/>
    <w:rsid w:val="698369FF"/>
    <w:rsid w:val="698425E0"/>
    <w:rsid w:val="698718B2"/>
    <w:rsid w:val="69872FA0"/>
    <w:rsid w:val="69881641"/>
    <w:rsid w:val="698A0CE2"/>
    <w:rsid w:val="698A2A90"/>
    <w:rsid w:val="698D21B3"/>
    <w:rsid w:val="698E0084"/>
    <w:rsid w:val="698E432E"/>
    <w:rsid w:val="698F00A6"/>
    <w:rsid w:val="698F62F8"/>
    <w:rsid w:val="699102C2"/>
    <w:rsid w:val="69912070"/>
    <w:rsid w:val="69934A52"/>
    <w:rsid w:val="69935DE8"/>
    <w:rsid w:val="6994390F"/>
    <w:rsid w:val="699566D7"/>
    <w:rsid w:val="69961435"/>
    <w:rsid w:val="699642BF"/>
    <w:rsid w:val="69966690"/>
    <w:rsid w:val="69990490"/>
    <w:rsid w:val="699B27FF"/>
    <w:rsid w:val="699B4C9D"/>
    <w:rsid w:val="699B5970"/>
    <w:rsid w:val="699D27C3"/>
    <w:rsid w:val="699D6C67"/>
    <w:rsid w:val="69A5373A"/>
    <w:rsid w:val="69A73642"/>
    <w:rsid w:val="69A91168"/>
    <w:rsid w:val="69A973BA"/>
    <w:rsid w:val="69AA4EE0"/>
    <w:rsid w:val="69AF24F6"/>
    <w:rsid w:val="69AF73BD"/>
    <w:rsid w:val="69B018C1"/>
    <w:rsid w:val="69B01F8E"/>
    <w:rsid w:val="69B33D95"/>
    <w:rsid w:val="69B813AB"/>
    <w:rsid w:val="69B95123"/>
    <w:rsid w:val="69BA15C7"/>
    <w:rsid w:val="69BB533F"/>
    <w:rsid w:val="69BD2E65"/>
    <w:rsid w:val="69BE2739"/>
    <w:rsid w:val="69BF35F2"/>
    <w:rsid w:val="69BF6BDD"/>
    <w:rsid w:val="69C05F4E"/>
    <w:rsid w:val="69C2047C"/>
    <w:rsid w:val="69C2222A"/>
    <w:rsid w:val="69C45FA2"/>
    <w:rsid w:val="69C50A30"/>
    <w:rsid w:val="69C77840"/>
    <w:rsid w:val="69C97A5C"/>
    <w:rsid w:val="69CA37DD"/>
    <w:rsid w:val="69CA7330"/>
    <w:rsid w:val="69CD62F0"/>
    <w:rsid w:val="69CF00F4"/>
    <w:rsid w:val="69D16911"/>
    <w:rsid w:val="69D34437"/>
    <w:rsid w:val="69D361E5"/>
    <w:rsid w:val="69D364AE"/>
    <w:rsid w:val="69D41F5D"/>
    <w:rsid w:val="69D501AF"/>
    <w:rsid w:val="69D56401"/>
    <w:rsid w:val="69D57C48"/>
    <w:rsid w:val="69D63F27"/>
    <w:rsid w:val="69D65CD5"/>
    <w:rsid w:val="69D865C9"/>
    <w:rsid w:val="69D87C9F"/>
    <w:rsid w:val="69DA3A17"/>
    <w:rsid w:val="69DC778F"/>
    <w:rsid w:val="69DD52B6"/>
    <w:rsid w:val="69DF102E"/>
    <w:rsid w:val="69E14DA6"/>
    <w:rsid w:val="69E20B1E"/>
    <w:rsid w:val="69E228CC"/>
    <w:rsid w:val="69E403F2"/>
    <w:rsid w:val="69E46644"/>
    <w:rsid w:val="69E76134"/>
    <w:rsid w:val="69E91EAC"/>
    <w:rsid w:val="69EA47A1"/>
    <w:rsid w:val="69EC374B"/>
    <w:rsid w:val="69EE301F"/>
    <w:rsid w:val="69F50851"/>
    <w:rsid w:val="69F66377"/>
    <w:rsid w:val="69F820EF"/>
    <w:rsid w:val="69FB573C"/>
    <w:rsid w:val="69FE33CB"/>
    <w:rsid w:val="6A002D52"/>
    <w:rsid w:val="6A021836"/>
    <w:rsid w:val="6A050368"/>
    <w:rsid w:val="6A050B73"/>
    <w:rsid w:val="6A06271C"/>
    <w:rsid w:val="6A072AD7"/>
    <w:rsid w:val="6A0942FC"/>
    <w:rsid w:val="6A0C16F7"/>
    <w:rsid w:val="6A0C7949"/>
    <w:rsid w:val="6A0D5B9B"/>
    <w:rsid w:val="6A0E546F"/>
    <w:rsid w:val="6A1011E7"/>
    <w:rsid w:val="6A106E8A"/>
    <w:rsid w:val="6A1175E1"/>
    <w:rsid w:val="6A1231B1"/>
    <w:rsid w:val="6A130CD7"/>
    <w:rsid w:val="6A154A4F"/>
    <w:rsid w:val="6A16113C"/>
    <w:rsid w:val="6A1727EA"/>
    <w:rsid w:val="6A18009C"/>
    <w:rsid w:val="6A184540"/>
    <w:rsid w:val="6A1862EE"/>
    <w:rsid w:val="6A1A3E14"/>
    <w:rsid w:val="6A1A691F"/>
    <w:rsid w:val="6A1C750D"/>
    <w:rsid w:val="6A1E618D"/>
    <w:rsid w:val="6A2151A2"/>
    <w:rsid w:val="6A22716C"/>
    <w:rsid w:val="6A23552C"/>
    <w:rsid w:val="6A244B48"/>
    <w:rsid w:val="6A244C92"/>
    <w:rsid w:val="6A2904FB"/>
    <w:rsid w:val="6A2B7DCF"/>
    <w:rsid w:val="6A2F4F8B"/>
    <w:rsid w:val="6A301889"/>
    <w:rsid w:val="6A331379"/>
    <w:rsid w:val="6A334ED5"/>
    <w:rsid w:val="6A352F84"/>
    <w:rsid w:val="6A3550F2"/>
    <w:rsid w:val="6A366774"/>
    <w:rsid w:val="6A372C18"/>
    <w:rsid w:val="6A38073E"/>
    <w:rsid w:val="6A3824EC"/>
    <w:rsid w:val="6A3A44B6"/>
    <w:rsid w:val="6A3C1FDC"/>
    <w:rsid w:val="6A402023"/>
    <w:rsid w:val="6A425119"/>
    <w:rsid w:val="6A425588"/>
    <w:rsid w:val="6A440E91"/>
    <w:rsid w:val="6A4470E3"/>
    <w:rsid w:val="6A462E5B"/>
    <w:rsid w:val="6A470981"/>
    <w:rsid w:val="6A482602"/>
    <w:rsid w:val="6A49294B"/>
    <w:rsid w:val="6A4946F9"/>
    <w:rsid w:val="6A4E2D04"/>
    <w:rsid w:val="6A4E7F61"/>
    <w:rsid w:val="6A503CD9"/>
    <w:rsid w:val="6A505A87"/>
    <w:rsid w:val="6A521800"/>
    <w:rsid w:val="6A535578"/>
    <w:rsid w:val="6A537326"/>
    <w:rsid w:val="6A590DE0"/>
    <w:rsid w:val="6A5A06B4"/>
    <w:rsid w:val="6A5A6906"/>
    <w:rsid w:val="6A5B4C9F"/>
    <w:rsid w:val="6A5C730C"/>
    <w:rsid w:val="6A5D01A4"/>
    <w:rsid w:val="6A5F216E"/>
    <w:rsid w:val="6A611A43"/>
    <w:rsid w:val="6A620C3B"/>
    <w:rsid w:val="6A6255CE"/>
    <w:rsid w:val="6A641533"/>
    <w:rsid w:val="6A647492"/>
    <w:rsid w:val="6A670C5E"/>
    <w:rsid w:val="6A681023"/>
    <w:rsid w:val="6A682DD1"/>
    <w:rsid w:val="6A694D9B"/>
    <w:rsid w:val="6A6B28C1"/>
    <w:rsid w:val="6A6B466F"/>
    <w:rsid w:val="6A6D0181"/>
    <w:rsid w:val="6A6D34F2"/>
    <w:rsid w:val="6A6D6639"/>
    <w:rsid w:val="6A6E721F"/>
    <w:rsid w:val="6A70612A"/>
    <w:rsid w:val="6A7554EE"/>
    <w:rsid w:val="6A760889"/>
    <w:rsid w:val="6A771266"/>
    <w:rsid w:val="6A7774B8"/>
    <w:rsid w:val="6A7A48B2"/>
    <w:rsid w:val="6A7A6FA8"/>
    <w:rsid w:val="6A7C4ACE"/>
    <w:rsid w:val="6A7E0847"/>
    <w:rsid w:val="6A7F011B"/>
    <w:rsid w:val="6A7F45BF"/>
    <w:rsid w:val="6A8219B9"/>
    <w:rsid w:val="6A823D4C"/>
    <w:rsid w:val="6A845199"/>
    <w:rsid w:val="6A857F0C"/>
    <w:rsid w:val="6A8614A9"/>
    <w:rsid w:val="6A876FCF"/>
    <w:rsid w:val="6A890F99"/>
    <w:rsid w:val="6A892D47"/>
    <w:rsid w:val="6A8A6CB9"/>
    <w:rsid w:val="6A9040D6"/>
    <w:rsid w:val="6A94006A"/>
    <w:rsid w:val="6A9562C0"/>
    <w:rsid w:val="6A95793E"/>
    <w:rsid w:val="6A975464"/>
    <w:rsid w:val="6A9A4F55"/>
    <w:rsid w:val="6A9B6DD9"/>
    <w:rsid w:val="6A9E4A45"/>
    <w:rsid w:val="6AA162E3"/>
    <w:rsid w:val="6AA302AD"/>
    <w:rsid w:val="6AA55DB5"/>
    <w:rsid w:val="6AA656A7"/>
    <w:rsid w:val="6AA858C3"/>
    <w:rsid w:val="6AA95198"/>
    <w:rsid w:val="6AB06526"/>
    <w:rsid w:val="6AB27AB2"/>
    <w:rsid w:val="6AB51D8E"/>
    <w:rsid w:val="6AB57FE0"/>
    <w:rsid w:val="6AB62F7E"/>
    <w:rsid w:val="6AB75B07"/>
    <w:rsid w:val="6ABA1153"/>
    <w:rsid w:val="6ABA6B4B"/>
    <w:rsid w:val="6ABC4ECB"/>
    <w:rsid w:val="6ABE0C43"/>
    <w:rsid w:val="6ABE50E7"/>
    <w:rsid w:val="6AC02C0D"/>
    <w:rsid w:val="6AC10733"/>
    <w:rsid w:val="6AC124E1"/>
    <w:rsid w:val="6AC36259"/>
    <w:rsid w:val="6AC364B9"/>
    <w:rsid w:val="6AC56093"/>
    <w:rsid w:val="6AC81AC2"/>
    <w:rsid w:val="6ACB7804"/>
    <w:rsid w:val="6ACD0E86"/>
    <w:rsid w:val="6ACD532A"/>
    <w:rsid w:val="6ACF2E50"/>
    <w:rsid w:val="6ACF3DC7"/>
    <w:rsid w:val="6AD16ECB"/>
    <w:rsid w:val="6AD20B92"/>
    <w:rsid w:val="6AD22940"/>
    <w:rsid w:val="6AD2649C"/>
    <w:rsid w:val="6AD40467"/>
    <w:rsid w:val="6AD55F8D"/>
    <w:rsid w:val="6AD71D05"/>
    <w:rsid w:val="6AD93CCF"/>
    <w:rsid w:val="6ADA17F5"/>
    <w:rsid w:val="6ADC556D"/>
    <w:rsid w:val="6ADE12E5"/>
    <w:rsid w:val="6ADF78E5"/>
    <w:rsid w:val="6AE461D0"/>
    <w:rsid w:val="6AE54422"/>
    <w:rsid w:val="6AE663EC"/>
    <w:rsid w:val="6AF3041C"/>
    <w:rsid w:val="6AF40B09"/>
    <w:rsid w:val="6AF44665"/>
    <w:rsid w:val="6AF74155"/>
    <w:rsid w:val="6AF9611F"/>
    <w:rsid w:val="6AF97ECD"/>
    <w:rsid w:val="6AFC1C8D"/>
    <w:rsid w:val="6AFE7291"/>
    <w:rsid w:val="6AFF300A"/>
    <w:rsid w:val="6AFF671E"/>
    <w:rsid w:val="6AFF6E02"/>
    <w:rsid w:val="6B014FD4"/>
    <w:rsid w:val="6B016D82"/>
    <w:rsid w:val="6B0845B4"/>
    <w:rsid w:val="6B086362"/>
    <w:rsid w:val="6B0A20DA"/>
    <w:rsid w:val="6B0A3E88"/>
    <w:rsid w:val="6B0A7AC3"/>
    <w:rsid w:val="6B0B19AE"/>
    <w:rsid w:val="6B0B4888"/>
    <w:rsid w:val="6B0F149F"/>
    <w:rsid w:val="6B0F5943"/>
    <w:rsid w:val="6B1747F7"/>
    <w:rsid w:val="6B19056F"/>
    <w:rsid w:val="6B1909F6"/>
    <w:rsid w:val="6B1A35C7"/>
    <w:rsid w:val="6B1C373F"/>
    <w:rsid w:val="6B1D005F"/>
    <w:rsid w:val="6B2036AC"/>
    <w:rsid w:val="6B235DBA"/>
    <w:rsid w:val="6B256F14"/>
    <w:rsid w:val="6B260059"/>
    <w:rsid w:val="6B2757E4"/>
    <w:rsid w:val="6B275ADB"/>
    <w:rsid w:val="6B2A5402"/>
    <w:rsid w:val="6B2B3DFF"/>
    <w:rsid w:val="6B2C02A3"/>
    <w:rsid w:val="6B2C2051"/>
    <w:rsid w:val="6B2C4161"/>
    <w:rsid w:val="6B2F38EF"/>
    <w:rsid w:val="6B3233DF"/>
    <w:rsid w:val="6B32518D"/>
    <w:rsid w:val="6B344A21"/>
    <w:rsid w:val="6B352872"/>
    <w:rsid w:val="6B376C47"/>
    <w:rsid w:val="6B3A1470"/>
    <w:rsid w:val="6B3B04E6"/>
    <w:rsid w:val="6B3C600C"/>
    <w:rsid w:val="6B3C7DBA"/>
    <w:rsid w:val="6B3E7DF1"/>
    <w:rsid w:val="6B3F779C"/>
    <w:rsid w:val="6B4078AA"/>
    <w:rsid w:val="6B43739A"/>
    <w:rsid w:val="6B4458AB"/>
    <w:rsid w:val="6B446834"/>
    <w:rsid w:val="6B460C38"/>
    <w:rsid w:val="6B472B04"/>
    <w:rsid w:val="6B476E8A"/>
    <w:rsid w:val="6B4A24D7"/>
    <w:rsid w:val="6B4B1D8F"/>
    <w:rsid w:val="6B4C26F3"/>
    <w:rsid w:val="6B4C3885"/>
    <w:rsid w:val="6B4E0D76"/>
    <w:rsid w:val="6B4E646B"/>
    <w:rsid w:val="6B4F3F91"/>
    <w:rsid w:val="6B4F5D3F"/>
    <w:rsid w:val="6B513CD6"/>
    <w:rsid w:val="6B5222C8"/>
    <w:rsid w:val="6B54127A"/>
    <w:rsid w:val="6B59096C"/>
    <w:rsid w:val="6B594E10"/>
    <w:rsid w:val="6B5B46E4"/>
    <w:rsid w:val="6B5C4ABB"/>
    <w:rsid w:val="6B5F7207"/>
    <w:rsid w:val="6B633598"/>
    <w:rsid w:val="6B6537B4"/>
    <w:rsid w:val="6B674DF9"/>
    <w:rsid w:val="6B686E01"/>
    <w:rsid w:val="6B692559"/>
    <w:rsid w:val="6B6A0DCB"/>
    <w:rsid w:val="6B6A2B79"/>
    <w:rsid w:val="6B6C069F"/>
    <w:rsid w:val="6B6D4417"/>
    <w:rsid w:val="6B6E08BB"/>
    <w:rsid w:val="6B6F018F"/>
    <w:rsid w:val="6B712159"/>
    <w:rsid w:val="6B714110"/>
    <w:rsid w:val="6B721A2E"/>
    <w:rsid w:val="6B732357"/>
    <w:rsid w:val="6B737C7F"/>
    <w:rsid w:val="6B741C4A"/>
    <w:rsid w:val="6B7457A6"/>
    <w:rsid w:val="6B781412"/>
    <w:rsid w:val="6B785296"/>
    <w:rsid w:val="6B7927E6"/>
    <w:rsid w:val="6B792DBC"/>
    <w:rsid w:val="6B7B14D4"/>
    <w:rsid w:val="6B7B2FD8"/>
    <w:rsid w:val="6B7D0AFE"/>
    <w:rsid w:val="6B7E03D2"/>
    <w:rsid w:val="6B7E5C45"/>
    <w:rsid w:val="6B7E6624"/>
    <w:rsid w:val="6B815DC5"/>
    <w:rsid w:val="6B817F21"/>
    <w:rsid w:val="6B851761"/>
    <w:rsid w:val="6B8754D9"/>
    <w:rsid w:val="6B881251"/>
    <w:rsid w:val="6B893F66"/>
    <w:rsid w:val="6B8B54C6"/>
    <w:rsid w:val="6B8C0D41"/>
    <w:rsid w:val="6B8C2AEF"/>
    <w:rsid w:val="6B8F0831"/>
    <w:rsid w:val="6B8F25DF"/>
    <w:rsid w:val="6B916358"/>
    <w:rsid w:val="6B9320D0"/>
    <w:rsid w:val="6B9419A4"/>
    <w:rsid w:val="6B95409A"/>
    <w:rsid w:val="6B9758F6"/>
    <w:rsid w:val="6B99520C"/>
    <w:rsid w:val="6B9B71D6"/>
    <w:rsid w:val="6B9D2F4E"/>
    <w:rsid w:val="6BA047ED"/>
    <w:rsid w:val="6BA22313"/>
    <w:rsid w:val="6BA306E0"/>
    <w:rsid w:val="6BA37E39"/>
    <w:rsid w:val="6BA442DD"/>
    <w:rsid w:val="6BA46F9F"/>
    <w:rsid w:val="6BA73DCD"/>
    <w:rsid w:val="6BA75920"/>
    <w:rsid w:val="6BA77929"/>
    <w:rsid w:val="6BA937C5"/>
    <w:rsid w:val="6BAA7419"/>
    <w:rsid w:val="6BAC4F3F"/>
    <w:rsid w:val="6BAD1792"/>
    <w:rsid w:val="6BAE0CB8"/>
    <w:rsid w:val="6BAE515B"/>
    <w:rsid w:val="6BAE6F0A"/>
    <w:rsid w:val="6BB107A8"/>
    <w:rsid w:val="6BB12CE4"/>
    <w:rsid w:val="6BB24174"/>
    <w:rsid w:val="6BB34520"/>
    <w:rsid w:val="6BB34F40"/>
    <w:rsid w:val="6BB43DF4"/>
    <w:rsid w:val="6BB67B6C"/>
    <w:rsid w:val="6BB93516"/>
    <w:rsid w:val="6BBB5183"/>
    <w:rsid w:val="6BC04E8F"/>
    <w:rsid w:val="6BC06C3D"/>
    <w:rsid w:val="6BC229B5"/>
    <w:rsid w:val="6BC404DB"/>
    <w:rsid w:val="6BC524A5"/>
    <w:rsid w:val="6BC84636"/>
    <w:rsid w:val="6BC8789F"/>
    <w:rsid w:val="6BCA186A"/>
    <w:rsid w:val="6BCB63A3"/>
    <w:rsid w:val="6BCB7ABB"/>
    <w:rsid w:val="6BCC3834"/>
    <w:rsid w:val="6BCC7390"/>
    <w:rsid w:val="6BCE4EB6"/>
    <w:rsid w:val="6BD050D2"/>
    <w:rsid w:val="6BD12BF8"/>
    <w:rsid w:val="6BD46244"/>
    <w:rsid w:val="6BD526E8"/>
    <w:rsid w:val="6BD61E2E"/>
    <w:rsid w:val="6BD83F86"/>
    <w:rsid w:val="6BDB3A77"/>
    <w:rsid w:val="6BDB5825"/>
    <w:rsid w:val="6BDD77EF"/>
    <w:rsid w:val="6BDF5315"/>
    <w:rsid w:val="6BE0108D"/>
    <w:rsid w:val="6BE20961"/>
    <w:rsid w:val="6BE272A9"/>
    <w:rsid w:val="6BE40B7D"/>
    <w:rsid w:val="6BE50451"/>
    <w:rsid w:val="6BE747E0"/>
    <w:rsid w:val="6BE86CF5"/>
    <w:rsid w:val="6BEA1734"/>
    <w:rsid w:val="6BEA5A68"/>
    <w:rsid w:val="6BF10177"/>
    <w:rsid w:val="6BF15048"/>
    <w:rsid w:val="6BF40694"/>
    <w:rsid w:val="6BF47D6A"/>
    <w:rsid w:val="6BF608B1"/>
    <w:rsid w:val="6BFC7F2A"/>
    <w:rsid w:val="6BFD1C3F"/>
    <w:rsid w:val="6BFD39ED"/>
    <w:rsid w:val="6BFF1513"/>
    <w:rsid w:val="6C0024CA"/>
    <w:rsid w:val="6C00528B"/>
    <w:rsid w:val="6C007039"/>
    <w:rsid w:val="6C021003"/>
    <w:rsid w:val="6C030E4B"/>
    <w:rsid w:val="6C040D59"/>
    <w:rsid w:val="6C042FCD"/>
    <w:rsid w:val="6C046B2A"/>
    <w:rsid w:val="6C060AF4"/>
    <w:rsid w:val="6C066D46"/>
    <w:rsid w:val="6C0677CC"/>
    <w:rsid w:val="6C094140"/>
    <w:rsid w:val="6C0A7EB8"/>
    <w:rsid w:val="6C0B21AE"/>
    <w:rsid w:val="6C0B75DD"/>
    <w:rsid w:val="6C0C3C30"/>
    <w:rsid w:val="6C0D620F"/>
    <w:rsid w:val="6C103720"/>
    <w:rsid w:val="6C117498"/>
    <w:rsid w:val="6C180827"/>
    <w:rsid w:val="6C1825D5"/>
    <w:rsid w:val="6C194139"/>
    <w:rsid w:val="6C197958"/>
    <w:rsid w:val="6C1D5E3D"/>
    <w:rsid w:val="6C1F1BB5"/>
    <w:rsid w:val="6C1F5711"/>
    <w:rsid w:val="6C20148A"/>
    <w:rsid w:val="6C204A68"/>
    <w:rsid w:val="6C2442A7"/>
    <w:rsid w:val="6C28270A"/>
    <w:rsid w:val="6C2947E2"/>
    <w:rsid w:val="6C296590"/>
    <w:rsid w:val="6C2B055A"/>
    <w:rsid w:val="6C2C42D2"/>
    <w:rsid w:val="6C2C6080"/>
    <w:rsid w:val="6C2C60C4"/>
    <w:rsid w:val="6C2E1DF8"/>
    <w:rsid w:val="6C2F3CD8"/>
    <w:rsid w:val="6C315445"/>
    <w:rsid w:val="6C3311BD"/>
    <w:rsid w:val="6C3513D9"/>
    <w:rsid w:val="6C353187"/>
    <w:rsid w:val="6C35541B"/>
    <w:rsid w:val="6C360CAD"/>
    <w:rsid w:val="6C3867D3"/>
    <w:rsid w:val="6C3A254B"/>
    <w:rsid w:val="6C3A69EF"/>
    <w:rsid w:val="6C3B62C3"/>
    <w:rsid w:val="6C3C2767"/>
    <w:rsid w:val="6C3F5DB4"/>
    <w:rsid w:val="6C417D7E"/>
    <w:rsid w:val="6C4258A4"/>
    <w:rsid w:val="6C447F32"/>
    <w:rsid w:val="6C472EBA"/>
    <w:rsid w:val="6C496C32"/>
    <w:rsid w:val="6C4B23BA"/>
    <w:rsid w:val="6C4B29AA"/>
    <w:rsid w:val="6C4B4758"/>
    <w:rsid w:val="6C4B52B3"/>
    <w:rsid w:val="6C4E249B"/>
    <w:rsid w:val="6C4E5FF7"/>
    <w:rsid w:val="6C501D6F"/>
    <w:rsid w:val="6C506213"/>
    <w:rsid w:val="6C523D39"/>
    <w:rsid w:val="6C53185F"/>
    <w:rsid w:val="6C5A0E3F"/>
    <w:rsid w:val="6C5A499B"/>
    <w:rsid w:val="6C5A7C50"/>
    <w:rsid w:val="6C5F1FB2"/>
    <w:rsid w:val="6C5F24EE"/>
    <w:rsid w:val="6C615D2A"/>
    <w:rsid w:val="6C64581A"/>
    <w:rsid w:val="6C652DB8"/>
    <w:rsid w:val="6C663340"/>
    <w:rsid w:val="6C68355C"/>
    <w:rsid w:val="6C6972D4"/>
    <w:rsid w:val="6C6A4059"/>
    <w:rsid w:val="6C6B4DFB"/>
    <w:rsid w:val="6C6D0B73"/>
    <w:rsid w:val="6C6D2921"/>
    <w:rsid w:val="6C6E6699"/>
    <w:rsid w:val="6C7041BF"/>
    <w:rsid w:val="6C726189"/>
    <w:rsid w:val="6C733CAF"/>
    <w:rsid w:val="6C735A5D"/>
    <w:rsid w:val="6C783074"/>
    <w:rsid w:val="6C792F32"/>
    <w:rsid w:val="6C7B40C0"/>
    <w:rsid w:val="6C7C2B64"/>
    <w:rsid w:val="6C7F08A6"/>
    <w:rsid w:val="6C823710"/>
    <w:rsid w:val="6C8620F1"/>
    <w:rsid w:val="6C871509"/>
    <w:rsid w:val="6C891FB9"/>
    <w:rsid w:val="6C8E2897"/>
    <w:rsid w:val="6C9003BD"/>
    <w:rsid w:val="6C9205D9"/>
    <w:rsid w:val="6C953C26"/>
    <w:rsid w:val="6C97174C"/>
    <w:rsid w:val="6C975BF0"/>
    <w:rsid w:val="6C9A123C"/>
    <w:rsid w:val="6C9F2CF6"/>
    <w:rsid w:val="6C9F4AA4"/>
    <w:rsid w:val="6CA05869"/>
    <w:rsid w:val="6CA125CA"/>
    <w:rsid w:val="6CA31619"/>
    <w:rsid w:val="6CA4030D"/>
    <w:rsid w:val="6CA9147F"/>
    <w:rsid w:val="6CA976D1"/>
    <w:rsid w:val="6CAA2B0F"/>
    <w:rsid w:val="6CAB3449"/>
    <w:rsid w:val="6CAB7E55"/>
    <w:rsid w:val="6CAD5413"/>
    <w:rsid w:val="6CAE2F39"/>
    <w:rsid w:val="6CB06CB1"/>
    <w:rsid w:val="6CB322FE"/>
    <w:rsid w:val="6CB3562B"/>
    <w:rsid w:val="6CB542C8"/>
    <w:rsid w:val="6CB63C68"/>
    <w:rsid w:val="6CB70040"/>
    <w:rsid w:val="6CB71DEE"/>
    <w:rsid w:val="6CBA18DE"/>
    <w:rsid w:val="6CBA368C"/>
    <w:rsid w:val="6CBC0780"/>
    <w:rsid w:val="6CBC7404"/>
    <w:rsid w:val="6CBF282C"/>
    <w:rsid w:val="6CC14A1B"/>
    <w:rsid w:val="6CC16C42"/>
    <w:rsid w:val="6CC4450B"/>
    <w:rsid w:val="6CC462B9"/>
    <w:rsid w:val="6CC8224D"/>
    <w:rsid w:val="6CCB7647"/>
    <w:rsid w:val="6CCD33BF"/>
    <w:rsid w:val="6CCF5389"/>
    <w:rsid w:val="6CD010B4"/>
    <w:rsid w:val="6CD24E7A"/>
    <w:rsid w:val="6CD26C28"/>
    <w:rsid w:val="6CD3474E"/>
    <w:rsid w:val="6CD40BF2"/>
    <w:rsid w:val="6CD417E7"/>
    <w:rsid w:val="6CD44759"/>
    <w:rsid w:val="6CD504C6"/>
    <w:rsid w:val="6CD72490"/>
    <w:rsid w:val="6CDA5ADC"/>
    <w:rsid w:val="6CDC1854"/>
    <w:rsid w:val="6CDC3602"/>
    <w:rsid w:val="6CDF1345"/>
    <w:rsid w:val="6CDF292F"/>
    <w:rsid w:val="6CE150BD"/>
    <w:rsid w:val="6CE60925"/>
    <w:rsid w:val="6CE95783"/>
    <w:rsid w:val="6CE95D1F"/>
    <w:rsid w:val="6CEB1A97"/>
    <w:rsid w:val="6CEC29E0"/>
    <w:rsid w:val="6CEC515F"/>
    <w:rsid w:val="6CED272F"/>
    <w:rsid w:val="6CED5510"/>
    <w:rsid w:val="6CED769A"/>
    <w:rsid w:val="6CEF1361"/>
    <w:rsid w:val="6CEF1588"/>
    <w:rsid w:val="6CF22E26"/>
    <w:rsid w:val="6CF272CA"/>
    <w:rsid w:val="6CF30226"/>
    <w:rsid w:val="6CF52916"/>
    <w:rsid w:val="6CF7043C"/>
    <w:rsid w:val="6CF90658"/>
    <w:rsid w:val="6CF92406"/>
    <w:rsid w:val="6CFC61C3"/>
    <w:rsid w:val="6CFD5F76"/>
    <w:rsid w:val="6CFE17CB"/>
    <w:rsid w:val="6D0019E7"/>
    <w:rsid w:val="6D010BA5"/>
    <w:rsid w:val="6D042B59"/>
    <w:rsid w:val="6D051C7B"/>
    <w:rsid w:val="6D06056F"/>
    <w:rsid w:val="6D06067F"/>
    <w:rsid w:val="6D0A63C2"/>
    <w:rsid w:val="6D0A6F75"/>
    <w:rsid w:val="6D0B19EF"/>
    <w:rsid w:val="6D0C0889"/>
    <w:rsid w:val="6D0D5EB2"/>
    <w:rsid w:val="6D0F1C2A"/>
    <w:rsid w:val="6D1014FE"/>
    <w:rsid w:val="6D107750"/>
    <w:rsid w:val="6D12171A"/>
    <w:rsid w:val="6D125276"/>
    <w:rsid w:val="6D140F40"/>
    <w:rsid w:val="6D147240"/>
    <w:rsid w:val="6D185805"/>
    <w:rsid w:val="6D2532D0"/>
    <w:rsid w:val="6D257FA0"/>
    <w:rsid w:val="6D286848"/>
    <w:rsid w:val="6D29033A"/>
    <w:rsid w:val="6D2A25C0"/>
    <w:rsid w:val="6D2C27DC"/>
    <w:rsid w:val="6D2F5E28"/>
    <w:rsid w:val="6D303931"/>
    <w:rsid w:val="6D317DF2"/>
    <w:rsid w:val="6D321474"/>
    <w:rsid w:val="6D325205"/>
    <w:rsid w:val="6D3276C6"/>
    <w:rsid w:val="6D341690"/>
    <w:rsid w:val="6D3528A0"/>
    <w:rsid w:val="6D3671B7"/>
    <w:rsid w:val="6D371181"/>
    <w:rsid w:val="6D3C6227"/>
    <w:rsid w:val="6D401DE3"/>
    <w:rsid w:val="6D415B5B"/>
    <w:rsid w:val="6D417909"/>
    <w:rsid w:val="6D4672D9"/>
    <w:rsid w:val="6D48513C"/>
    <w:rsid w:val="6D4A4A10"/>
    <w:rsid w:val="6D4D2752"/>
    <w:rsid w:val="6D4F0278"/>
    <w:rsid w:val="6D513FF0"/>
    <w:rsid w:val="6D527D69"/>
    <w:rsid w:val="6D5344F5"/>
    <w:rsid w:val="6D57712D"/>
    <w:rsid w:val="6D594C53"/>
    <w:rsid w:val="6D5B09CB"/>
    <w:rsid w:val="6D5B17B0"/>
    <w:rsid w:val="6D5B4E6F"/>
    <w:rsid w:val="6D5E2269"/>
    <w:rsid w:val="6D5E670D"/>
    <w:rsid w:val="6D604233"/>
    <w:rsid w:val="6D611D5A"/>
    <w:rsid w:val="6D617984"/>
    <w:rsid w:val="6D617FAC"/>
    <w:rsid w:val="6D65184A"/>
    <w:rsid w:val="6D6535F8"/>
    <w:rsid w:val="6D68133A"/>
    <w:rsid w:val="6D6830E8"/>
    <w:rsid w:val="6D6C31E6"/>
    <w:rsid w:val="6D6C3BC5"/>
    <w:rsid w:val="6D6D4BA2"/>
    <w:rsid w:val="6D6D6950"/>
    <w:rsid w:val="6D714693"/>
    <w:rsid w:val="6D725612"/>
    <w:rsid w:val="6D730EC7"/>
    <w:rsid w:val="6D741A8D"/>
    <w:rsid w:val="6D745F31"/>
    <w:rsid w:val="6D747CDF"/>
    <w:rsid w:val="6D761CA9"/>
    <w:rsid w:val="6D763A57"/>
    <w:rsid w:val="6D77157D"/>
    <w:rsid w:val="6D7777CF"/>
    <w:rsid w:val="6D793547"/>
    <w:rsid w:val="6D7D4B4A"/>
    <w:rsid w:val="6D7D5326"/>
    <w:rsid w:val="6D7E504C"/>
    <w:rsid w:val="6D800432"/>
    <w:rsid w:val="6D8048D6"/>
    <w:rsid w:val="6D8141AA"/>
    <w:rsid w:val="6D82064E"/>
    <w:rsid w:val="6D836174"/>
    <w:rsid w:val="6D8617C0"/>
    <w:rsid w:val="6D885538"/>
    <w:rsid w:val="6D8A12B0"/>
    <w:rsid w:val="6D8B6862"/>
    <w:rsid w:val="6D8B6DD7"/>
    <w:rsid w:val="6D8F4B19"/>
    <w:rsid w:val="6D934609"/>
    <w:rsid w:val="6D9914F3"/>
    <w:rsid w:val="6D9933EF"/>
    <w:rsid w:val="6D9B526C"/>
    <w:rsid w:val="6DA46816"/>
    <w:rsid w:val="6DA71186"/>
    <w:rsid w:val="6DA85BDA"/>
    <w:rsid w:val="6DAD31F1"/>
    <w:rsid w:val="6DAE1443"/>
    <w:rsid w:val="6DAF0D17"/>
    <w:rsid w:val="6DAF2A8F"/>
    <w:rsid w:val="6DB12CE1"/>
    <w:rsid w:val="6DB30807"/>
    <w:rsid w:val="6DBA5467"/>
    <w:rsid w:val="6DBB590E"/>
    <w:rsid w:val="6DBC51E2"/>
    <w:rsid w:val="6DBD1686"/>
    <w:rsid w:val="6DBD1FDD"/>
    <w:rsid w:val="6DBE5485"/>
    <w:rsid w:val="6DBE71AC"/>
    <w:rsid w:val="6DC347C2"/>
    <w:rsid w:val="6DC36570"/>
    <w:rsid w:val="6DC41DD2"/>
    <w:rsid w:val="6DC46452"/>
    <w:rsid w:val="6DC522E8"/>
    <w:rsid w:val="6DC5678C"/>
    <w:rsid w:val="6DC6202A"/>
    <w:rsid w:val="6DC742B3"/>
    <w:rsid w:val="6DC81DD9"/>
    <w:rsid w:val="6DC9002B"/>
    <w:rsid w:val="6DC91CC0"/>
    <w:rsid w:val="6DC9627D"/>
    <w:rsid w:val="6DCA1331"/>
    <w:rsid w:val="6DCA5B51"/>
    <w:rsid w:val="6DCB15B1"/>
    <w:rsid w:val="6DCB757A"/>
    <w:rsid w:val="6DCE5641"/>
    <w:rsid w:val="6DCF03CB"/>
    <w:rsid w:val="6DCF0A73"/>
    <w:rsid w:val="6DCF3167"/>
    <w:rsid w:val="6DCF4F15"/>
    <w:rsid w:val="6DD10C8D"/>
    <w:rsid w:val="6DD30EA9"/>
    <w:rsid w:val="6DD369BE"/>
    <w:rsid w:val="6DD469CF"/>
    <w:rsid w:val="6DD53539"/>
    <w:rsid w:val="6DD616F3"/>
    <w:rsid w:val="6DD8026E"/>
    <w:rsid w:val="6DDD3AD6"/>
    <w:rsid w:val="6DDD7632"/>
    <w:rsid w:val="6DDE1315"/>
    <w:rsid w:val="6DE22E9A"/>
    <w:rsid w:val="6DEA61F3"/>
    <w:rsid w:val="6DEC3D19"/>
    <w:rsid w:val="6DEC5AC7"/>
    <w:rsid w:val="6DEC7532"/>
    <w:rsid w:val="6DEE0E0A"/>
    <w:rsid w:val="6DF1132F"/>
    <w:rsid w:val="6DF36E56"/>
    <w:rsid w:val="6DF57072"/>
    <w:rsid w:val="6DF64B98"/>
    <w:rsid w:val="6DFC5FDF"/>
    <w:rsid w:val="6DFD1A82"/>
    <w:rsid w:val="6DFE08FF"/>
    <w:rsid w:val="6DFE57FA"/>
    <w:rsid w:val="6DFE7BE5"/>
    <w:rsid w:val="6E001573"/>
    <w:rsid w:val="6E0214E2"/>
    <w:rsid w:val="6E027099"/>
    <w:rsid w:val="6E040EC6"/>
    <w:rsid w:val="6E0472B5"/>
    <w:rsid w:val="6E0508AC"/>
    <w:rsid w:val="6E054C0E"/>
    <w:rsid w:val="6E072310"/>
    <w:rsid w:val="6E072901"/>
    <w:rsid w:val="6E080427"/>
    <w:rsid w:val="6E092E8C"/>
    <w:rsid w:val="6E0948CB"/>
    <w:rsid w:val="6E0A23F1"/>
    <w:rsid w:val="6E0E1EE1"/>
    <w:rsid w:val="6E0E213F"/>
    <w:rsid w:val="6E0E5A3E"/>
    <w:rsid w:val="6E0F7A08"/>
    <w:rsid w:val="6E100881"/>
    <w:rsid w:val="6E10402A"/>
    <w:rsid w:val="6E133FEF"/>
    <w:rsid w:val="6E13574A"/>
    <w:rsid w:val="6E162B44"/>
    <w:rsid w:val="6E1A6AD8"/>
    <w:rsid w:val="6E1B015A"/>
    <w:rsid w:val="6E1F40EF"/>
    <w:rsid w:val="6E1F5E9D"/>
    <w:rsid w:val="6E2214E9"/>
    <w:rsid w:val="6E22598D"/>
    <w:rsid w:val="6E22773B"/>
    <w:rsid w:val="6E286C77"/>
    <w:rsid w:val="6E301E58"/>
    <w:rsid w:val="6E315BD0"/>
    <w:rsid w:val="6E337B9A"/>
    <w:rsid w:val="6E3631E6"/>
    <w:rsid w:val="6E380D0C"/>
    <w:rsid w:val="6E382EA8"/>
    <w:rsid w:val="6E3851B0"/>
    <w:rsid w:val="6E3A6313"/>
    <w:rsid w:val="6E3B7411"/>
    <w:rsid w:val="6E3D6323"/>
    <w:rsid w:val="6E3E31C1"/>
    <w:rsid w:val="6E3E5E60"/>
    <w:rsid w:val="6E3F02ED"/>
    <w:rsid w:val="6E3F209B"/>
    <w:rsid w:val="6E41661F"/>
    <w:rsid w:val="6E441C04"/>
    <w:rsid w:val="6E4476B1"/>
    <w:rsid w:val="6E4504C3"/>
    <w:rsid w:val="6E4753F3"/>
    <w:rsid w:val="6E4771A1"/>
    <w:rsid w:val="6E49060D"/>
    <w:rsid w:val="6E49116B"/>
    <w:rsid w:val="6E4A0A40"/>
    <w:rsid w:val="6E4B4EE4"/>
    <w:rsid w:val="6E4D1826"/>
    <w:rsid w:val="6E4E22DE"/>
    <w:rsid w:val="6E5001A7"/>
    <w:rsid w:val="6E5024FA"/>
    <w:rsid w:val="6E565636"/>
    <w:rsid w:val="6E5673E4"/>
    <w:rsid w:val="6E5B2C4D"/>
    <w:rsid w:val="6E5B69FB"/>
    <w:rsid w:val="6E5C24F7"/>
    <w:rsid w:val="6E5D69C5"/>
    <w:rsid w:val="6E602011"/>
    <w:rsid w:val="6E625D89"/>
    <w:rsid w:val="6E641B01"/>
    <w:rsid w:val="6E645FA5"/>
    <w:rsid w:val="6E661D1D"/>
    <w:rsid w:val="6E663ACB"/>
    <w:rsid w:val="6E66587A"/>
    <w:rsid w:val="6E6715F2"/>
    <w:rsid w:val="6E671E41"/>
    <w:rsid w:val="6E69536A"/>
    <w:rsid w:val="6E6B7334"/>
    <w:rsid w:val="6E6C09B6"/>
    <w:rsid w:val="6E6C6C08"/>
    <w:rsid w:val="6E6F4BC0"/>
    <w:rsid w:val="6E700D11"/>
    <w:rsid w:val="6E70494A"/>
    <w:rsid w:val="6E71421E"/>
    <w:rsid w:val="6E7220B1"/>
    <w:rsid w:val="6E777A87"/>
    <w:rsid w:val="6E7837FF"/>
    <w:rsid w:val="6E7B0DE6"/>
    <w:rsid w:val="6E7D0E15"/>
    <w:rsid w:val="6E7E2306"/>
    <w:rsid w:val="6E8201DA"/>
    <w:rsid w:val="6E832B77"/>
    <w:rsid w:val="6E8421A4"/>
    <w:rsid w:val="6E851A78"/>
    <w:rsid w:val="6E8757F0"/>
    <w:rsid w:val="6E8A28E9"/>
    <w:rsid w:val="6E8A7499"/>
    <w:rsid w:val="6E8C1058"/>
    <w:rsid w:val="6E8C40E8"/>
    <w:rsid w:val="6E900B48"/>
    <w:rsid w:val="6E921E64"/>
    <w:rsid w:val="6E9248C1"/>
    <w:rsid w:val="6E9323A2"/>
    <w:rsid w:val="6E9323E7"/>
    <w:rsid w:val="6E9404C0"/>
    <w:rsid w:val="6E9879FD"/>
    <w:rsid w:val="6E9C573F"/>
    <w:rsid w:val="6E9D506D"/>
    <w:rsid w:val="6E9F0D8B"/>
    <w:rsid w:val="6E9F2B3A"/>
    <w:rsid w:val="6E9F3C9F"/>
    <w:rsid w:val="6EA13894"/>
    <w:rsid w:val="6EA14B04"/>
    <w:rsid w:val="6EA22C9D"/>
    <w:rsid w:val="6EA75E92"/>
    <w:rsid w:val="6EA91C0A"/>
    <w:rsid w:val="6EAB14DE"/>
    <w:rsid w:val="6EAB7730"/>
    <w:rsid w:val="6EAC5256"/>
    <w:rsid w:val="6EAE0FCF"/>
    <w:rsid w:val="6EAE7189"/>
    <w:rsid w:val="6EAF7707"/>
    <w:rsid w:val="6EB26D11"/>
    <w:rsid w:val="6EB32A89"/>
    <w:rsid w:val="6EB72579"/>
    <w:rsid w:val="6EB81E4D"/>
    <w:rsid w:val="6EB83BFB"/>
    <w:rsid w:val="6EBC36EB"/>
    <w:rsid w:val="6EBE56B6"/>
    <w:rsid w:val="6EBF4F8A"/>
    <w:rsid w:val="6EC32CCC"/>
    <w:rsid w:val="6EC3303A"/>
    <w:rsid w:val="6EC425A0"/>
    <w:rsid w:val="6EC627BC"/>
    <w:rsid w:val="6EC66318"/>
    <w:rsid w:val="6EC8176A"/>
    <w:rsid w:val="6ECD3B4B"/>
    <w:rsid w:val="6ECF78C3"/>
    <w:rsid w:val="6ED30A35"/>
    <w:rsid w:val="6ED37FBE"/>
    <w:rsid w:val="6ED70525"/>
    <w:rsid w:val="6ED8429D"/>
    <w:rsid w:val="6EDB549D"/>
    <w:rsid w:val="6EE039DB"/>
    <w:rsid w:val="6EE06396"/>
    <w:rsid w:val="6EE13152"/>
    <w:rsid w:val="6EE3336E"/>
    <w:rsid w:val="6EE40E94"/>
    <w:rsid w:val="6EE60768"/>
    <w:rsid w:val="6EE669BA"/>
    <w:rsid w:val="6EE92007"/>
    <w:rsid w:val="6EED1AF7"/>
    <w:rsid w:val="6EED5F9B"/>
    <w:rsid w:val="6EF015E7"/>
    <w:rsid w:val="6EF235B1"/>
    <w:rsid w:val="6EF8407C"/>
    <w:rsid w:val="6EF94940"/>
    <w:rsid w:val="6EFA2466"/>
    <w:rsid w:val="6EFC4430"/>
    <w:rsid w:val="6F0357BE"/>
    <w:rsid w:val="6F03595C"/>
    <w:rsid w:val="6F062BB9"/>
    <w:rsid w:val="6F064714"/>
    <w:rsid w:val="6F06705D"/>
    <w:rsid w:val="6F07576D"/>
    <w:rsid w:val="6F076F23"/>
    <w:rsid w:val="6F082743"/>
    <w:rsid w:val="6F082DD5"/>
    <w:rsid w:val="6F094457"/>
    <w:rsid w:val="6F0B01CF"/>
    <w:rsid w:val="6F0E7CBF"/>
    <w:rsid w:val="6F101C89"/>
    <w:rsid w:val="6F1352D6"/>
    <w:rsid w:val="6F1572A0"/>
    <w:rsid w:val="6F173018"/>
    <w:rsid w:val="6F174DC6"/>
    <w:rsid w:val="6F196D90"/>
    <w:rsid w:val="6F1A3BE3"/>
    <w:rsid w:val="6F1B634E"/>
    <w:rsid w:val="6F1C23DC"/>
    <w:rsid w:val="6F231363"/>
    <w:rsid w:val="6F231884"/>
    <w:rsid w:val="6F250CF6"/>
    <w:rsid w:val="6F26325B"/>
    <w:rsid w:val="6F280D81"/>
    <w:rsid w:val="6F2968A7"/>
    <w:rsid w:val="6F2A4AF9"/>
    <w:rsid w:val="6F2B0871"/>
    <w:rsid w:val="6F2B2472"/>
    <w:rsid w:val="6F2F0361"/>
    <w:rsid w:val="6F2F0E79"/>
    <w:rsid w:val="6F2F210F"/>
    <w:rsid w:val="6F304919"/>
    <w:rsid w:val="6F307C36"/>
    <w:rsid w:val="6F36229B"/>
    <w:rsid w:val="6F370FC4"/>
    <w:rsid w:val="6F374B81"/>
    <w:rsid w:val="6F3A0AB4"/>
    <w:rsid w:val="6F3B6306"/>
    <w:rsid w:val="6F3B6D06"/>
    <w:rsid w:val="6F3E67F6"/>
    <w:rsid w:val="6F3F446E"/>
    <w:rsid w:val="6F481423"/>
    <w:rsid w:val="6F490CF7"/>
    <w:rsid w:val="6F4A6F49"/>
    <w:rsid w:val="6F4D6A39"/>
    <w:rsid w:val="6F5163A9"/>
    <w:rsid w:val="6F55769C"/>
    <w:rsid w:val="6F561264"/>
    <w:rsid w:val="6F583B84"/>
    <w:rsid w:val="6F593630"/>
    <w:rsid w:val="6F5A2F04"/>
    <w:rsid w:val="6F5B11AF"/>
    <w:rsid w:val="6F5C0A2B"/>
    <w:rsid w:val="6F5D32D7"/>
    <w:rsid w:val="6F5E29F5"/>
    <w:rsid w:val="6F5E47A3"/>
    <w:rsid w:val="6F6079A0"/>
    <w:rsid w:val="6F616377"/>
    <w:rsid w:val="6F624B4B"/>
    <w:rsid w:val="6F63625D"/>
    <w:rsid w:val="6F6618A9"/>
    <w:rsid w:val="6F683873"/>
    <w:rsid w:val="6F6A3147"/>
    <w:rsid w:val="6F6A75EB"/>
    <w:rsid w:val="6F6B1C1A"/>
    <w:rsid w:val="6F6B77E3"/>
    <w:rsid w:val="6F6D3DA5"/>
    <w:rsid w:val="6F6D49E6"/>
    <w:rsid w:val="6F6E74EB"/>
    <w:rsid w:val="6F6F075E"/>
    <w:rsid w:val="6F71097A"/>
    <w:rsid w:val="6F777F3C"/>
    <w:rsid w:val="6F795A80"/>
    <w:rsid w:val="6F79782E"/>
    <w:rsid w:val="6F7B5355"/>
    <w:rsid w:val="6F7C183E"/>
    <w:rsid w:val="6F7C5B41"/>
    <w:rsid w:val="6F7E3097"/>
    <w:rsid w:val="6F7E4E45"/>
    <w:rsid w:val="6F8040FB"/>
    <w:rsid w:val="6F814935"/>
    <w:rsid w:val="6F83245B"/>
    <w:rsid w:val="6F836B40"/>
    <w:rsid w:val="6F86531E"/>
    <w:rsid w:val="6F8A5583"/>
    <w:rsid w:val="6F8D5088"/>
    <w:rsid w:val="6F906926"/>
    <w:rsid w:val="6F912DCA"/>
    <w:rsid w:val="6F92269E"/>
    <w:rsid w:val="6F9251A5"/>
    <w:rsid w:val="6F9778AF"/>
    <w:rsid w:val="6F984159"/>
    <w:rsid w:val="6F993A2D"/>
    <w:rsid w:val="6F9957DB"/>
    <w:rsid w:val="6F9B1553"/>
    <w:rsid w:val="6FA04DBB"/>
    <w:rsid w:val="6FA26D85"/>
    <w:rsid w:val="6FA42810"/>
    <w:rsid w:val="6FA50623"/>
    <w:rsid w:val="6FA7439C"/>
    <w:rsid w:val="6FA7614A"/>
    <w:rsid w:val="6FA83C70"/>
    <w:rsid w:val="6FAA5C3A"/>
    <w:rsid w:val="6FAC19B2"/>
    <w:rsid w:val="6FAF14A2"/>
    <w:rsid w:val="6FAF4FFE"/>
    <w:rsid w:val="6FB121AF"/>
    <w:rsid w:val="6FB2689C"/>
    <w:rsid w:val="6FB91A91"/>
    <w:rsid w:val="6FBB39A3"/>
    <w:rsid w:val="6FBC1944"/>
    <w:rsid w:val="6FBF2B40"/>
    <w:rsid w:val="6FC05652"/>
    <w:rsid w:val="6FC07921"/>
    <w:rsid w:val="6FC211D5"/>
    <w:rsid w:val="6FC36CFC"/>
    <w:rsid w:val="6FC420DD"/>
    <w:rsid w:val="6FC56858"/>
    <w:rsid w:val="6FC62348"/>
    <w:rsid w:val="6FC767EC"/>
    <w:rsid w:val="6FC82564"/>
    <w:rsid w:val="6FC860C0"/>
    <w:rsid w:val="6FCA008A"/>
    <w:rsid w:val="6FCA62DC"/>
    <w:rsid w:val="6FCC5BB0"/>
    <w:rsid w:val="6FCD1928"/>
    <w:rsid w:val="6FCF38F2"/>
    <w:rsid w:val="6FD131C7"/>
    <w:rsid w:val="6FD44A65"/>
    <w:rsid w:val="6FD607DD"/>
    <w:rsid w:val="6FD64C81"/>
    <w:rsid w:val="6FD809F9"/>
    <w:rsid w:val="6FD827A7"/>
    <w:rsid w:val="6FD902CD"/>
    <w:rsid w:val="6FDB225A"/>
    <w:rsid w:val="6FDB2297"/>
    <w:rsid w:val="6FDD7DBD"/>
    <w:rsid w:val="6FE0165C"/>
    <w:rsid w:val="6FE0340A"/>
    <w:rsid w:val="6FE27182"/>
    <w:rsid w:val="6FE54EC4"/>
    <w:rsid w:val="6FE61F3E"/>
    <w:rsid w:val="6FE62BA6"/>
    <w:rsid w:val="6FE74DA4"/>
    <w:rsid w:val="6FEA072C"/>
    <w:rsid w:val="6FEA08BF"/>
    <w:rsid w:val="6FEA2098"/>
    <w:rsid w:val="6FEC5DB0"/>
    <w:rsid w:val="6FEC6252"/>
    <w:rsid w:val="6FF13869"/>
    <w:rsid w:val="6FF23135"/>
    <w:rsid w:val="6FF2313D"/>
    <w:rsid w:val="6FF35ABE"/>
    <w:rsid w:val="6FF62C2D"/>
    <w:rsid w:val="6FF670D1"/>
    <w:rsid w:val="6FF869A5"/>
    <w:rsid w:val="6FFA660D"/>
    <w:rsid w:val="6FFB0243"/>
    <w:rsid w:val="6FFB6495"/>
    <w:rsid w:val="6FFD3FBC"/>
    <w:rsid w:val="6FFE3CE6"/>
    <w:rsid w:val="6FFE7D34"/>
    <w:rsid w:val="70001CFE"/>
    <w:rsid w:val="70003AAC"/>
    <w:rsid w:val="7000585A"/>
    <w:rsid w:val="70025A76"/>
    <w:rsid w:val="700417EE"/>
    <w:rsid w:val="70074E3A"/>
    <w:rsid w:val="70082960"/>
    <w:rsid w:val="700A0487"/>
    <w:rsid w:val="700C06A3"/>
    <w:rsid w:val="700C6678"/>
    <w:rsid w:val="700D682A"/>
    <w:rsid w:val="700F1F41"/>
    <w:rsid w:val="70147557"/>
    <w:rsid w:val="7016644C"/>
    <w:rsid w:val="70187047"/>
    <w:rsid w:val="701A10CE"/>
    <w:rsid w:val="701D01BA"/>
    <w:rsid w:val="701D640C"/>
    <w:rsid w:val="701E2184"/>
    <w:rsid w:val="70205EFC"/>
    <w:rsid w:val="70227EC6"/>
    <w:rsid w:val="70251764"/>
    <w:rsid w:val="702575A7"/>
    <w:rsid w:val="702A6D7B"/>
    <w:rsid w:val="702C0672"/>
    <w:rsid w:val="70310109"/>
    <w:rsid w:val="70335974"/>
    <w:rsid w:val="70336E04"/>
    <w:rsid w:val="70357BF9"/>
    <w:rsid w:val="7036571F"/>
    <w:rsid w:val="70381498"/>
    <w:rsid w:val="703A3875"/>
    <w:rsid w:val="703D085C"/>
    <w:rsid w:val="703D260A"/>
    <w:rsid w:val="703D6AAE"/>
    <w:rsid w:val="703F2826"/>
    <w:rsid w:val="704020FA"/>
    <w:rsid w:val="7040659E"/>
    <w:rsid w:val="70441BEA"/>
    <w:rsid w:val="70455963"/>
    <w:rsid w:val="70480FAF"/>
    <w:rsid w:val="70497201"/>
    <w:rsid w:val="704E2A69"/>
    <w:rsid w:val="704E4817"/>
    <w:rsid w:val="7053007F"/>
    <w:rsid w:val="705363EE"/>
    <w:rsid w:val="705426F3"/>
    <w:rsid w:val="7055204A"/>
    <w:rsid w:val="70553DF8"/>
    <w:rsid w:val="70585696"/>
    <w:rsid w:val="705B5186"/>
    <w:rsid w:val="705D77DA"/>
    <w:rsid w:val="705F6A24"/>
    <w:rsid w:val="70620C69"/>
    <w:rsid w:val="70645DE9"/>
    <w:rsid w:val="70691651"/>
    <w:rsid w:val="706978A3"/>
    <w:rsid w:val="706C7393"/>
    <w:rsid w:val="706E6C67"/>
    <w:rsid w:val="706F478E"/>
    <w:rsid w:val="70726E22"/>
    <w:rsid w:val="70772C18"/>
    <w:rsid w:val="70787AE6"/>
    <w:rsid w:val="707B75D6"/>
    <w:rsid w:val="707F0E75"/>
    <w:rsid w:val="707F2C23"/>
    <w:rsid w:val="70820965"/>
    <w:rsid w:val="70833D8C"/>
    <w:rsid w:val="708404D0"/>
    <w:rsid w:val="7084648B"/>
    <w:rsid w:val="708615C5"/>
    <w:rsid w:val="708741CD"/>
    <w:rsid w:val="70875F7B"/>
    <w:rsid w:val="70891CF3"/>
    <w:rsid w:val="70893AA1"/>
    <w:rsid w:val="7089584F"/>
    <w:rsid w:val="708B3C5F"/>
    <w:rsid w:val="708B5A6B"/>
    <w:rsid w:val="708B7819"/>
    <w:rsid w:val="708C3591"/>
    <w:rsid w:val="70904E30"/>
    <w:rsid w:val="70904F00"/>
    <w:rsid w:val="70905608"/>
    <w:rsid w:val="70932B72"/>
    <w:rsid w:val="70950698"/>
    <w:rsid w:val="70967F6C"/>
    <w:rsid w:val="70972202"/>
    <w:rsid w:val="70980188"/>
    <w:rsid w:val="70983692"/>
    <w:rsid w:val="709A07CC"/>
    <w:rsid w:val="709A3F00"/>
    <w:rsid w:val="709A5CAE"/>
    <w:rsid w:val="709C4BE4"/>
    <w:rsid w:val="709D54EB"/>
    <w:rsid w:val="709D579F"/>
    <w:rsid w:val="709F1517"/>
    <w:rsid w:val="70A42689"/>
    <w:rsid w:val="70A46B2D"/>
    <w:rsid w:val="70A703CB"/>
    <w:rsid w:val="70A71CF7"/>
    <w:rsid w:val="70A73F27"/>
    <w:rsid w:val="70AB010C"/>
    <w:rsid w:val="70AB06C0"/>
    <w:rsid w:val="70AB1C6A"/>
    <w:rsid w:val="70AB7EBB"/>
    <w:rsid w:val="70AC019F"/>
    <w:rsid w:val="70AE175A"/>
    <w:rsid w:val="70AF6D48"/>
    <w:rsid w:val="70B07280"/>
    <w:rsid w:val="70B328CC"/>
    <w:rsid w:val="70B42BBA"/>
    <w:rsid w:val="70B623BC"/>
    <w:rsid w:val="70B7060E"/>
    <w:rsid w:val="70B76860"/>
    <w:rsid w:val="70BA3C5B"/>
    <w:rsid w:val="70BB79D3"/>
    <w:rsid w:val="70BE7F7D"/>
    <w:rsid w:val="70C1148D"/>
    <w:rsid w:val="70C71D41"/>
    <w:rsid w:val="70C920F0"/>
    <w:rsid w:val="70CB230C"/>
    <w:rsid w:val="70CB40BA"/>
    <w:rsid w:val="70CD22D0"/>
    <w:rsid w:val="70CD7E32"/>
    <w:rsid w:val="70CE7706"/>
    <w:rsid w:val="70CF74E9"/>
    <w:rsid w:val="70D0347E"/>
    <w:rsid w:val="70D32F6E"/>
    <w:rsid w:val="70D62946"/>
    <w:rsid w:val="70DA42FD"/>
    <w:rsid w:val="70DA6015"/>
    <w:rsid w:val="70DE203F"/>
    <w:rsid w:val="70DE2451"/>
    <w:rsid w:val="70E21403"/>
    <w:rsid w:val="70E64A50"/>
    <w:rsid w:val="70EB650A"/>
    <w:rsid w:val="70ED2282"/>
    <w:rsid w:val="70ED2C38"/>
    <w:rsid w:val="70F03B20"/>
    <w:rsid w:val="70F3572C"/>
    <w:rsid w:val="70F51137"/>
    <w:rsid w:val="70F73101"/>
    <w:rsid w:val="70F76C5D"/>
    <w:rsid w:val="70F84783"/>
    <w:rsid w:val="70FA04FB"/>
    <w:rsid w:val="70FC0717"/>
    <w:rsid w:val="70FC24C5"/>
    <w:rsid w:val="70FC7F1F"/>
    <w:rsid w:val="70FE448F"/>
    <w:rsid w:val="71003969"/>
    <w:rsid w:val="71015D2D"/>
    <w:rsid w:val="71025602"/>
    <w:rsid w:val="71033854"/>
    <w:rsid w:val="710413BD"/>
    <w:rsid w:val="71045053"/>
    <w:rsid w:val="710650F2"/>
    <w:rsid w:val="71072C18"/>
    <w:rsid w:val="71080E6A"/>
    <w:rsid w:val="710870BC"/>
    <w:rsid w:val="710B095A"/>
    <w:rsid w:val="710C62D3"/>
    <w:rsid w:val="710E21F8"/>
    <w:rsid w:val="710E6863"/>
    <w:rsid w:val="710F02FA"/>
    <w:rsid w:val="710F044A"/>
    <w:rsid w:val="71105F71"/>
    <w:rsid w:val="711060E4"/>
    <w:rsid w:val="71107D1F"/>
    <w:rsid w:val="711315BD"/>
    <w:rsid w:val="71152CAD"/>
    <w:rsid w:val="71186BD3"/>
    <w:rsid w:val="71194149"/>
    <w:rsid w:val="711A294B"/>
    <w:rsid w:val="711A6DEF"/>
    <w:rsid w:val="711C4389"/>
    <w:rsid w:val="711D41EA"/>
    <w:rsid w:val="711F4406"/>
    <w:rsid w:val="7121131A"/>
    <w:rsid w:val="71235CA4"/>
    <w:rsid w:val="71237A52"/>
    <w:rsid w:val="712437CA"/>
    <w:rsid w:val="71267542"/>
    <w:rsid w:val="7127461C"/>
    <w:rsid w:val="712832BA"/>
    <w:rsid w:val="712A66B5"/>
    <w:rsid w:val="712B2DAA"/>
    <w:rsid w:val="712D267F"/>
    <w:rsid w:val="712D6B22"/>
    <w:rsid w:val="712E4649"/>
    <w:rsid w:val="712E50BB"/>
    <w:rsid w:val="712F289B"/>
    <w:rsid w:val="712F2B8A"/>
    <w:rsid w:val="713003C1"/>
    <w:rsid w:val="713036D2"/>
    <w:rsid w:val="71316B5E"/>
    <w:rsid w:val="71324139"/>
    <w:rsid w:val="71347EB1"/>
    <w:rsid w:val="7135696F"/>
    <w:rsid w:val="713752AB"/>
    <w:rsid w:val="71375440"/>
    <w:rsid w:val="71383DDC"/>
    <w:rsid w:val="713A4D9B"/>
    <w:rsid w:val="713C3C71"/>
    <w:rsid w:val="713C6D66"/>
    <w:rsid w:val="713E7A0C"/>
    <w:rsid w:val="713F23B2"/>
    <w:rsid w:val="713F6856"/>
    <w:rsid w:val="7141437C"/>
    <w:rsid w:val="714317DD"/>
    <w:rsid w:val="71443B44"/>
    <w:rsid w:val="714479C8"/>
    <w:rsid w:val="714678F4"/>
    <w:rsid w:val="71467BE4"/>
    <w:rsid w:val="71483955"/>
    <w:rsid w:val="7148570A"/>
    <w:rsid w:val="714B0D57"/>
    <w:rsid w:val="714B51FB"/>
    <w:rsid w:val="714B6FA9"/>
    <w:rsid w:val="714D4ACF"/>
    <w:rsid w:val="714E77C7"/>
    <w:rsid w:val="715220E5"/>
    <w:rsid w:val="715275D8"/>
    <w:rsid w:val="71535E5D"/>
    <w:rsid w:val="7157594D"/>
    <w:rsid w:val="715916C6"/>
    <w:rsid w:val="71593474"/>
    <w:rsid w:val="715968EE"/>
    <w:rsid w:val="715B3690"/>
    <w:rsid w:val="715C11B6"/>
    <w:rsid w:val="715C2F64"/>
    <w:rsid w:val="715C7408"/>
    <w:rsid w:val="715E4F2E"/>
    <w:rsid w:val="715F2A54"/>
    <w:rsid w:val="7164006A"/>
    <w:rsid w:val="71662034"/>
    <w:rsid w:val="71686571"/>
    <w:rsid w:val="7169742F"/>
    <w:rsid w:val="716B13F9"/>
    <w:rsid w:val="716B31A7"/>
    <w:rsid w:val="716D6F1F"/>
    <w:rsid w:val="716F0EE9"/>
    <w:rsid w:val="71704C61"/>
    <w:rsid w:val="71707F90"/>
    <w:rsid w:val="717209D9"/>
    <w:rsid w:val="71721018"/>
    <w:rsid w:val="71724535"/>
    <w:rsid w:val="71744751"/>
    <w:rsid w:val="71791D68"/>
    <w:rsid w:val="717C53B4"/>
    <w:rsid w:val="717E0E45"/>
    <w:rsid w:val="717E2EDA"/>
    <w:rsid w:val="717F6C52"/>
    <w:rsid w:val="718129CA"/>
    <w:rsid w:val="71816E6E"/>
    <w:rsid w:val="718524BB"/>
    <w:rsid w:val="7187709C"/>
    <w:rsid w:val="718814E9"/>
    <w:rsid w:val="718B55F7"/>
    <w:rsid w:val="718D75C1"/>
    <w:rsid w:val="718F14DF"/>
    <w:rsid w:val="718F158B"/>
    <w:rsid w:val="718F6E95"/>
    <w:rsid w:val="71924BD7"/>
    <w:rsid w:val="71926986"/>
    <w:rsid w:val="71946BA2"/>
    <w:rsid w:val="719551E8"/>
    <w:rsid w:val="71956476"/>
    <w:rsid w:val="71970440"/>
    <w:rsid w:val="719721EE"/>
    <w:rsid w:val="71973F9C"/>
    <w:rsid w:val="71995F66"/>
    <w:rsid w:val="71997D14"/>
    <w:rsid w:val="719B7F30"/>
    <w:rsid w:val="719C7804"/>
    <w:rsid w:val="719D6674"/>
    <w:rsid w:val="719E357C"/>
    <w:rsid w:val="71A010A2"/>
    <w:rsid w:val="71A072F4"/>
    <w:rsid w:val="71A14E1B"/>
    <w:rsid w:val="71A16BC9"/>
    <w:rsid w:val="71A44F5F"/>
    <w:rsid w:val="71A5490B"/>
    <w:rsid w:val="71A62431"/>
    <w:rsid w:val="71A861A9"/>
    <w:rsid w:val="71AA1F21"/>
    <w:rsid w:val="71AE3B50"/>
    <w:rsid w:val="71AF7537"/>
    <w:rsid w:val="71B05423"/>
    <w:rsid w:val="71B44B4E"/>
    <w:rsid w:val="71B66B18"/>
    <w:rsid w:val="71BB2380"/>
    <w:rsid w:val="71BB5EDC"/>
    <w:rsid w:val="71BF04AE"/>
    <w:rsid w:val="71C034F3"/>
    <w:rsid w:val="71C1726B"/>
    <w:rsid w:val="71C31235"/>
    <w:rsid w:val="71C50B09"/>
    <w:rsid w:val="71C54538"/>
    <w:rsid w:val="71C70D25"/>
    <w:rsid w:val="71C7160D"/>
    <w:rsid w:val="71C72AD3"/>
    <w:rsid w:val="71C823A7"/>
    <w:rsid w:val="71CA0B9B"/>
    <w:rsid w:val="71CA611F"/>
    <w:rsid w:val="71CB3965"/>
    <w:rsid w:val="71CC633B"/>
    <w:rsid w:val="71CD20B4"/>
    <w:rsid w:val="71D01526"/>
    <w:rsid w:val="71D074AE"/>
    <w:rsid w:val="71D21478"/>
    <w:rsid w:val="71D451F0"/>
    <w:rsid w:val="71D46F9E"/>
    <w:rsid w:val="71D84CE0"/>
    <w:rsid w:val="71D85D70"/>
    <w:rsid w:val="71D8718B"/>
    <w:rsid w:val="71D92806"/>
    <w:rsid w:val="71DC4440"/>
    <w:rsid w:val="71DE0782"/>
    <w:rsid w:val="71E048F6"/>
    <w:rsid w:val="71E3257D"/>
    <w:rsid w:val="71E5266B"/>
    <w:rsid w:val="71E573FD"/>
    <w:rsid w:val="71E60A7F"/>
    <w:rsid w:val="71E80C9B"/>
    <w:rsid w:val="71E847F7"/>
    <w:rsid w:val="71EA0570"/>
    <w:rsid w:val="71EB2AA5"/>
    <w:rsid w:val="71ED0060"/>
    <w:rsid w:val="71ED1E0E"/>
    <w:rsid w:val="71ED62B2"/>
    <w:rsid w:val="71ED6B06"/>
    <w:rsid w:val="71EF202A"/>
    <w:rsid w:val="71F118FE"/>
    <w:rsid w:val="71F17B50"/>
    <w:rsid w:val="71F238C8"/>
    <w:rsid w:val="71F633B8"/>
    <w:rsid w:val="71F907B3"/>
    <w:rsid w:val="71F92EA9"/>
    <w:rsid w:val="71F950A9"/>
    <w:rsid w:val="71F96A05"/>
    <w:rsid w:val="71FB277D"/>
    <w:rsid w:val="71FE04BF"/>
    <w:rsid w:val="71FE1F10"/>
    <w:rsid w:val="71FE226D"/>
    <w:rsid w:val="72001B41"/>
    <w:rsid w:val="72007D93"/>
    <w:rsid w:val="72023B0B"/>
    <w:rsid w:val="72035AD5"/>
    <w:rsid w:val="72037883"/>
    <w:rsid w:val="7205184D"/>
    <w:rsid w:val="72062ED0"/>
    <w:rsid w:val="72086C48"/>
    <w:rsid w:val="72095D23"/>
    <w:rsid w:val="720A6E64"/>
    <w:rsid w:val="720B10AE"/>
    <w:rsid w:val="720C2BDC"/>
    <w:rsid w:val="720E0702"/>
    <w:rsid w:val="720F72CF"/>
    <w:rsid w:val="721101F2"/>
    <w:rsid w:val="72111FA0"/>
    <w:rsid w:val="72115F01"/>
    <w:rsid w:val="72135D18"/>
    <w:rsid w:val="72141A90"/>
    <w:rsid w:val="72161365"/>
    <w:rsid w:val="72165809"/>
    <w:rsid w:val="72172A68"/>
    <w:rsid w:val="72181581"/>
    <w:rsid w:val="721E646B"/>
    <w:rsid w:val="721F6E5B"/>
    <w:rsid w:val="722021E3"/>
    <w:rsid w:val="722241AD"/>
    <w:rsid w:val="72233A82"/>
    <w:rsid w:val="72253C9E"/>
    <w:rsid w:val="722717C4"/>
    <w:rsid w:val="722B2DE0"/>
    <w:rsid w:val="722C0B88"/>
    <w:rsid w:val="722D66AE"/>
    <w:rsid w:val="722F2426"/>
    <w:rsid w:val="72312642"/>
    <w:rsid w:val="723143F0"/>
    <w:rsid w:val="72314BDB"/>
    <w:rsid w:val="72331F17"/>
    <w:rsid w:val="7234326E"/>
    <w:rsid w:val="72345C8F"/>
    <w:rsid w:val="72347A3D"/>
    <w:rsid w:val="72367C59"/>
    <w:rsid w:val="723932A5"/>
    <w:rsid w:val="723B701D"/>
    <w:rsid w:val="723E08BB"/>
    <w:rsid w:val="723E4F1D"/>
    <w:rsid w:val="723F0BF3"/>
    <w:rsid w:val="723F6B0D"/>
    <w:rsid w:val="724063E2"/>
    <w:rsid w:val="72440D8F"/>
    <w:rsid w:val="724539F8"/>
    <w:rsid w:val="72473C14"/>
    <w:rsid w:val="724759C2"/>
    <w:rsid w:val="7249173A"/>
    <w:rsid w:val="72495CF8"/>
    <w:rsid w:val="7249798C"/>
    <w:rsid w:val="724A3704"/>
    <w:rsid w:val="724E32D1"/>
    <w:rsid w:val="724F4877"/>
    <w:rsid w:val="725105EF"/>
    <w:rsid w:val="725325B9"/>
    <w:rsid w:val="72541E8D"/>
    <w:rsid w:val="72563E57"/>
    <w:rsid w:val="72570A0E"/>
    <w:rsid w:val="72587BCF"/>
    <w:rsid w:val="725974A3"/>
    <w:rsid w:val="725A6797"/>
    <w:rsid w:val="725D1936"/>
    <w:rsid w:val="725F0F5E"/>
    <w:rsid w:val="72621C35"/>
    <w:rsid w:val="72640322"/>
    <w:rsid w:val="72646574"/>
    <w:rsid w:val="726A345E"/>
    <w:rsid w:val="726A7902"/>
    <w:rsid w:val="726C53CA"/>
    <w:rsid w:val="726C71D7"/>
    <w:rsid w:val="726F2713"/>
    <w:rsid w:val="727147ED"/>
    <w:rsid w:val="72721ECF"/>
    <w:rsid w:val="72730565"/>
    <w:rsid w:val="72734A09"/>
    <w:rsid w:val="72760055"/>
    <w:rsid w:val="7278201F"/>
    <w:rsid w:val="727918F3"/>
    <w:rsid w:val="727A5D97"/>
    <w:rsid w:val="727B1B10"/>
    <w:rsid w:val="727B566C"/>
    <w:rsid w:val="727C377E"/>
    <w:rsid w:val="727E0C6F"/>
    <w:rsid w:val="727E484F"/>
    <w:rsid w:val="72800ED4"/>
    <w:rsid w:val="72842772"/>
    <w:rsid w:val="728470A0"/>
    <w:rsid w:val="728564EA"/>
    <w:rsid w:val="72895FDA"/>
    <w:rsid w:val="728A091C"/>
    <w:rsid w:val="728E539F"/>
    <w:rsid w:val="728F1117"/>
    <w:rsid w:val="72914E8F"/>
    <w:rsid w:val="72930C07"/>
    <w:rsid w:val="72936E59"/>
    <w:rsid w:val="7295497F"/>
    <w:rsid w:val="72972779"/>
    <w:rsid w:val="7298621E"/>
    <w:rsid w:val="72987FCC"/>
    <w:rsid w:val="729A1F96"/>
    <w:rsid w:val="729A7263"/>
    <w:rsid w:val="729B5D0E"/>
    <w:rsid w:val="729D1A86"/>
    <w:rsid w:val="729F57FE"/>
    <w:rsid w:val="72A050D2"/>
    <w:rsid w:val="72A11576"/>
    <w:rsid w:val="72A44BC2"/>
    <w:rsid w:val="72A5093A"/>
    <w:rsid w:val="72A669EB"/>
    <w:rsid w:val="72A9042B"/>
    <w:rsid w:val="72AC7F1B"/>
    <w:rsid w:val="72AE5A41"/>
    <w:rsid w:val="72B017B9"/>
    <w:rsid w:val="72B1108D"/>
    <w:rsid w:val="72B20C5A"/>
    <w:rsid w:val="72B27B5F"/>
    <w:rsid w:val="72B62B48"/>
    <w:rsid w:val="72B92290"/>
    <w:rsid w:val="72BA43E6"/>
    <w:rsid w:val="72BA62F1"/>
    <w:rsid w:val="72BF19FC"/>
    <w:rsid w:val="72BF37AA"/>
    <w:rsid w:val="72C45265"/>
    <w:rsid w:val="72C53404"/>
    <w:rsid w:val="72C74D55"/>
    <w:rsid w:val="72C9287B"/>
    <w:rsid w:val="72C93215"/>
    <w:rsid w:val="72C94629"/>
    <w:rsid w:val="72CA214F"/>
    <w:rsid w:val="72CC236B"/>
    <w:rsid w:val="72CC5EC7"/>
    <w:rsid w:val="72CD6775"/>
    <w:rsid w:val="72CE60E3"/>
    <w:rsid w:val="72D01C58"/>
    <w:rsid w:val="72D130E8"/>
    <w:rsid w:val="72D27981"/>
    <w:rsid w:val="72D354A8"/>
    <w:rsid w:val="72D51220"/>
    <w:rsid w:val="72D66D46"/>
    <w:rsid w:val="72D76034"/>
    <w:rsid w:val="72D8187A"/>
    <w:rsid w:val="72D82ABE"/>
    <w:rsid w:val="72DA6836"/>
    <w:rsid w:val="72DB610A"/>
    <w:rsid w:val="72DC01FB"/>
    <w:rsid w:val="72DD1E82"/>
    <w:rsid w:val="72DD3BC2"/>
    <w:rsid w:val="72DF5BFA"/>
    <w:rsid w:val="72E01973"/>
    <w:rsid w:val="72E476B5"/>
    <w:rsid w:val="72E66F89"/>
    <w:rsid w:val="72E71732"/>
    <w:rsid w:val="72E90827"/>
    <w:rsid w:val="72E96A79"/>
    <w:rsid w:val="72EB0A43"/>
    <w:rsid w:val="72EC65AF"/>
    <w:rsid w:val="72EF6671"/>
    <w:rsid w:val="72F13B80"/>
    <w:rsid w:val="72F1592E"/>
    <w:rsid w:val="72F21DD2"/>
    <w:rsid w:val="72F316A6"/>
    <w:rsid w:val="72F378F8"/>
    <w:rsid w:val="72F53670"/>
    <w:rsid w:val="72F5541E"/>
    <w:rsid w:val="72F65D2C"/>
    <w:rsid w:val="72FB055A"/>
    <w:rsid w:val="72FD2525"/>
    <w:rsid w:val="72FD6EED"/>
    <w:rsid w:val="72FE1BF5"/>
    <w:rsid w:val="72FF004B"/>
    <w:rsid w:val="73010267"/>
    <w:rsid w:val="730218E9"/>
    <w:rsid w:val="73041B05"/>
    <w:rsid w:val="730438B3"/>
    <w:rsid w:val="7306762B"/>
    <w:rsid w:val="73076EFF"/>
    <w:rsid w:val="73090EC9"/>
    <w:rsid w:val="730B2E93"/>
    <w:rsid w:val="730B69EF"/>
    <w:rsid w:val="730E028E"/>
    <w:rsid w:val="73102258"/>
    <w:rsid w:val="73107C5C"/>
    <w:rsid w:val="73133AF6"/>
    <w:rsid w:val="73133FCC"/>
    <w:rsid w:val="73146935"/>
    <w:rsid w:val="7315161C"/>
    <w:rsid w:val="73171838"/>
    <w:rsid w:val="7318735E"/>
    <w:rsid w:val="731955B0"/>
    <w:rsid w:val="731A30D6"/>
    <w:rsid w:val="731A4E85"/>
    <w:rsid w:val="731C29AB"/>
    <w:rsid w:val="731F249B"/>
    <w:rsid w:val="73207674"/>
    <w:rsid w:val="73221F8B"/>
    <w:rsid w:val="73222073"/>
    <w:rsid w:val="73235862"/>
    <w:rsid w:val="73252FF8"/>
    <w:rsid w:val="73261A7B"/>
    <w:rsid w:val="73267CCD"/>
    <w:rsid w:val="732B0E40"/>
    <w:rsid w:val="732D105C"/>
    <w:rsid w:val="732D4BB8"/>
    <w:rsid w:val="732E0930"/>
    <w:rsid w:val="732E3907"/>
    <w:rsid w:val="732E6B82"/>
    <w:rsid w:val="73306456"/>
    <w:rsid w:val="73321515"/>
    <w:rsid w:val="73326672"/>
    <w:rsid w:val="73337CF4"/>
    <w:rsid w:val="73351CBE"/>
    <w:rsid w:val="73372296"/>
    <w:rsid w:val="73373C88"/>
    <w:rsid w:val="733817AF"/>
    <w:rsid w:val="733A1083"/>
    <w:rsid w:val="733B20A7"/>
    <w:rsid w:val="733D0B73"/>
    <w:rsid w:val="733F2B3D"/>
    <w:rsid w:val="733F48EB"/>
    <w:rsid w:val="733F6699"/>
    <w:rsid w:val="73410663"/>
    <w:rsid w:val="73465C7A"/>
    <w:rsid w:val="7349576A"/>
    <w:rsid w:val="734B14E2"/>
    <w:rsid w:val="734B2FC2"/>
    <w:rsid w:val="734C0DB6"/>
    <w:rsid w:val="734E2D80"/>
    <w:rsid w:val="734F0FD2"/>
    <w:rsid w:val="73522870"/>
    <w:rsid w:val="7352539E"/>
    <w:rsid w:val="73577E87"/>
    <w:rsid w:val="73586710"/>
    <w:rsid w:val="735A34D3"/>
    <w:rsid w:val="735C724B"/>
    <w:rsid w:val="73614861"/>
    <w:rsid w:val="736305DA"/>
    <w:rsid w:val="73644352"/>
    <w:rsid w:val="73685BF0"/>
    <w:rsid w:val="7368690E"/>
    <w:rsid w:val="73697BBA"/>
    <w:rsid w:val="73730DA8"/>
    <w:rsid w:val="73734595"/>
    <w:rsid w:val="7375030D"/>
    <w:rsid w:val="737547B1"/>
    <w:rsid w:val="7379604F"/>
    <w:rsid w:val="737A34D9"/>
    <w:rsid w:val="737A5923"/>
    <w:rsid w:val="738007DB"/>
    <w:rsid w:val="738238D4"/>
    <w:rsid w:val="73840550"/>
    <w:rsid w:val="738467A2"/>
    <w:rsid w:val="73846894"/>
    <w:rsid w:val="738505EC"/>
    <w:rsid w:val="738549F4"/>
    <w:rsid w:val="7386076C"/>
    <w:rsid w:val="73886292"/>
    <w:rsid w:val="738A025C"/>
    <w:rsid w:val="738B18DE"/>
    <w:rsid w:val="738D5656"/>
    <w:rsid w:val="738E13CF"/>
    <w:rsid w:val="738E2DDF"/>
    <w:rsid w:val="738E466E"/>
    <w:rsid w:val="738F426F"/>
    <w:rsid w:val="739065EB"/>
    <w:rsid w:val="73922C6D"/>
    <w:rsid w:val="73966C01"/>
    <w:rsid w:val="73986A62"/>
    <w:rsid w:val="739A5FC5"/>
    <w:rsid w:val="739A7D73"/>
    <w:rsid w:val="739E1612"/>
    <w:rsid w:val="739E5AB6"/>
    <w:rsid w:val="739E7864"/>
    <w:rsid w:val="73A0182E"/>
    <w:rsid w:val="73A17354"/>
    <w:rsid w:val="73A56E44"/>
    <w:rsid w:val="73A6496A"/>
    <w:rsid w:val="73A86557"/>
    <w:rsid w:val="73AA26AC"/>
    <w:rsid w:val="73AA306E"/>
    <w:rsid w:val="73AB1F81"/>
    <w:rsid w:val="73AD0F38"/>
    <w:rsid w:val="73AD7AA7"/>
    <w:rsid w:val="73AF3858"/>
    <w:rsid w:val="73B61051"/>
    <w:rsid w:val="73B726D3"/>
    <w:rsid w:val="73B76B77"/>
    <w:rsid w:val="73BB6668"/>
    <w:rsid w:val="73BE3A62"/>
    <w:rsid w:val="73BE506A"/>
    <w:rsid w:val="73BF3A31"/>
    <w:rsid w:val="73BF77DA"/>
    <w:rsid w:val="73C179F6"/>
    <w:rsid w:val="73C22DCA"/>
    <w:rsid w:val="73C372CA"/>
    <w:rsid w:val="73C44DF0"/>
    <w:rsid w:val="73C4767E"/>
    <w:rsid w:val="73C51294"/>
    <w:rsid w:val="73C53042"/>
    <w:rsid w:val="73C60B68"/>
    <w:rsid w:val="73C66DBA"/>
    <w:rsid w:val="73C80D84"/>
    <w:rsid w:val="73C848E1"/>
    <w:rsid w:val="73CA0659"/>
    <w:rsid w:val="73CF67B0"/>
    <w:rsid w:val="73D019E7"/>
    <w:rsid w:val="73D47EC5"/>
    <w:rsid w:val="73D56FFD"/>
    <w:rsid w:val="73D67E93"/>
    <w:rsid w:val="73D74B24"/>
    <w:rsid w:val="73D94D40"/>
    <w:rsid w:val="73DB2875"/>
    <w:rsid w:val="73DD4830"/>
    <w:rsid w:val="73DE5EB2"/>
    <w:rsid w:val="73E13BF4"/>
    <w:rsid w:val="73E55634"/>
    <w:rsid w:val="73E57241"/>
    <w:rsid w:val="73E630B6"/>
    <w:rsid w:val="73E7745D"/>
    <w:rsid w:val="73E84F83"/>
    <w:rsid w:val="73EB05CF"/>
    <w:rsid w:val="73EB6821"/>
    <w:rsid w:val="73ED07EB"/>
    <w:rsid w:val="73EF1E6D"/>
    <w:rsid w:val="73F13E37"/>
    <w:rsid w:val="73F531FC"/>
    <w:rsid w:val="73F6144E"/>
    <w:rsid w:val="73F73418"/>
    <w:rsid w:val="73FA42D5"/>
    <w:rsid w:val="73FE0302"/>
    <w:rsid w:val="73FE47A6"/>
    <w:rsid w:val="73FE6554"/>
    <w:rsid w:val="74031DBD"/>
    <w:rsid w:val="74051691"/>
    <w:rsid w:val="74057244"/>
    <w:rsid w:val="740578E3"/>
    <w:rsid w:val="740A6CA7"/>
    <w:rsid w:val="740B04E1"/>
    <w:rsid w:val="740C0C71"/>
    <w:rsid w:val="740C6EC3"/>
    <w:rsid w:val="740D2C3B"/>
    <w:rsid w:val="740D6797"/>
    <w:rsid w:val="741144D9"/>
    <w:rsid w:val="74122000"/>
    <w:rsid w:val="74141576"/>
    <w:rsid w:val="74143FCA"/>
    <w:rsid w:val="741713C4"/>
    <w:rsid w:val="741B0EB4"/>
    <w:rsid w:val="741B2C62"/>
    <w:rsid w:val="741B7106"/>
    <w:rsid w:val="741C69DA"/>
    <w:rsid w:val="741D712A"/>
    <w:rsid w:val="741E09A4"/>
    <w:rsid w:val="7422738B"/>
    <w:rsid w:val="7426061C"/>
    <w:rsid w:val="74271B48"/>
    <w:rsid w:val="74275AAB"/>
    <w:rsid w:val="7428537F"/>
    <w:rsid w:val="742859A7"/>
    <w:rsid w:val="742A7349"/>
    <w:rsid w:val="74306A23"/>
    <w:rsid w:val="74312486"/>
    <w:rsid w:val="7431692A"/>
    <w:rsid w:val="74343D24"/>
    <w:rsid w:val="74344CDC"/>
    <w:rsid w:val="74363F40"/>
    <w:rsid w:val="74365CEE"/>
    <w:rsid w:val="74381A66"/>
    <w:rsid w:val="743957DE"/>
    <w:rsid w:val="7439758C"/>
    <w:rsid w:val="743D1831"/>
    <w:rsid w:val="743E1047"/>
    <w:rsid w:val="74416441"/>
    <w:rsid w:val="7442796E"/>
    <w:rsid w:val="74461834"/>
    <w:rsid w:val="74471CA9"/>
    <w:rsid w:val="74475895"/>
    <w:rsid w:val="74477EFB"/>
    <w:rsid w:val="74485A21"/>
    <w:rsid w:val="74493C73"/>
    <w:rsid w:val="744A1799"/>
    <w:rsid w:val="744A79EB"/>
    <w:rsid w:val="744C5512"/>
    <w:rsid w:val="744D3038"/>
    <w:rsid w:val="744E5768"/>
    <w:rsid w:val="744F0B5E"/>
    <w:rsid w:val="74513E69"/>
    <w:rsid w:val="745148D6"/>
    <w:rsid w:val="7452064E"/>
    <w:rsid w:val="745368A0"/>
    <w:rsid w:val="74546174"/>
    <w:rsid w:val="74566390"/>
    <w:rsid w:val="745A5E80"/>
    <w:rsid w:val="745B7503"/>
    <w:rsid w:val="745C1EFA"/>
    <w:rsid w:val="745D11FC"/>
    <w:rsid w:val="745D6D46"/>
    <w:rsid w:val="745F3497"/>
    <w:rsid w:val="74624D35"/>
    <w:rsid w:val="746278CC"/>
    <w:rsid w:val="74634609"/>
    <w:rsid w:val="74640AAD"/>
    <w:rsid w:val="74656037"/>
    <w:rsid w:val="746565D3"/>
    <w:rsid w:val="74685100"/>
    <w:rsid w:val="746C1710"/>
    <w:rsid w:val="746C5BB4"/>
    <w:rsid w:val="746D040B"/>
    <w:rsid w:val="746E36DA"/>
    <w:rsid w:val="746E3D1C"/>
    <w:rsid w:val="746F7452"/>
    <w:rsid w:val="74700A43"/>
    <w:rsid w:val="74716D26"/>
    <w:rsid w:val="74732A9E"/>
    <w:rsid w:val="747607E0"/>
    <w:rsid w:val="74784559"/>
    <w:rsid w:val="7479207F"/>
    <w:rsid w:val="74795BDB"/>
    <w:rsid w:val="747D56CB"/>
    <w:rsid w:val="747F7695"/>
    <w:rsid w:val="74820F33"/>
    <w:rsid w:val="74827185"/>
    <w:rsid w:val="748317D6"/>
    <w:rsid w:val="74836A59"/>
    <w:rsid w:val="74844CAB"/>
    <w:rsid w:val="74850A24"/>
    <w:rsid w:val="748A603A"/>
    <w:rsid w:val="748A7DE8"/>
    <w:rsid w:val="748B16A9"/>
    <w:rsid w:val="748C0004"/>
    <w:rsid w:val="748C1DB2"/>
    <w:rsid w:val="748C2B39"/>
    <w:rsid w:val="748C3B60"/>
    <w:rsid w:val="748D7B19"/>
    <w:rsid w:val="748E7A56"/>
    <w:rsid w:val="748F1CC1"/>
    <w:rsid w:val="748F53FE"/>
    <w:rsid w:val="748F5B6C"/>
    <w:rsid w:val="7490551B"/>
    <w:rsid w:val="74911176"/>
    <w:rsid w:val="74936C9D"/>
    <w:rsid w:val="74956EB9"/>
    <w:rsid w:val="74962C31"/>
    <w:rsid w:val="7496678D"/>
    <w:rsid w:val="74996569"/>
    <w:rsid w:val="749B0247"/>
    <w:rsid w:val="749B1FF5"/>
    <w:rsid w:val="749D3FBF"/>
    <w:rsid w:val="749E3893"/>
    <w:rsid w:val="749E5641"/>
    <w:rsid w:val="74A27930"/>
    <w:rsid w:val="74A4534E"/>
    <w:rsid w:val="74A470FC"/>
    <w:rsid w:val="74A536E0"/>
    <w:rsid w:val="74A72748"/>
    <w:rsid w:val="74A92964"/>
    <w:rsid w:val="74AA2238"/>
    <w:rsid w:val="74AA60C2"/>
    <w:rsid w:val="74AC35B3"/>
    <w:rsid w:val="74AC4202"/>
    <w:rsid w:val="74AE1D28"/>
    <w:rsid w:val="74B15375"/>
    <w:rsid w:val="74B17A6A"/>
    <w:rsid w:val="74B35591"/>
    <w:rsid w:val="74B84955"/>
    <w:rsid w:val="74B86703"/>
    <w:rsid w:val="74BA06CD"/>
    <w:rsid w:val="74BB2697"/>
    <w:rsid w:val="74BB4445"/>
    <w:rsid w:val="74BD01BD"/>
    <w:rsid w:val="74BE1A94"/>
    <w:rsid w:val="74BE7A92"/>
    <w:rsid w:val="74C14349"/>
    <w:rsid w:val="74C24F8F"/>
    <w:rsid w:val="74C432FA"/>
    <w:rsid w:val="74C46AAD"/>
    <w:rsid w:val="74C652C4"/>
    <w:rsid w:val="74C74B98"/>
    <w:rsid w:val="74C96B62"/>
    <w:rsid w:val="74CC21AE"/>
    <w:rsid w:val="74CD402D"/>
    <w:rsid w:val="74CF1C9F"/>
    <w:rsid w:val="74D00AB5"/>
    <w:rsid w:val="74D06143"/>
    <w:rsid w:val="74D15A17"/>
    <w:rsid w:val="74D3178F"/>
    <w:rsid w:val="74D53759"/>
    <w:rsid w:val="74D6302D"/>
    <w:rsid w:val="74DB6895"/>
    <w:rsid w:val="74DC0DA6"/>
    <w:rsid w:val="74DD43BC"/>
    <w:rsid w:val="74DD616A"/>
    <w:rsid w:val="74DE3871"/>
    <w:rsid w:val="74DF0134"/>
    <w:rsid w:val="74E05C5A"/>
    <w:rsid w:val="74E102DB"/>
    <w:rsid w:val="74E120FE"/>
    <w:rsid w:val="74E25E76"/>
    <w:rsid w:val="74E307BA"/>
    <w:rsid w:val="74E514C2"/>
    <w:rsid w:val="74E67714"/>
    <w:rsid w:val="74E7348C"/>
    <w:rsid w:val="74E76FE8"/>
    <w:rsid w:val="74E90FB2"/>
    <w:rsid w:val="74E92D60"/>
    <w:rsid w:val="74EC0AA3"/>
    <w:rsid w:val="74EE65C9"/>
    <w:rsid w:val="74F00593"/>
    <w:rsid w:val="74F040EF"/>
    <w:rsid w:val="74F05C86"/>
    <w:rsid w:val="74F11C15"/>
    <w:rsid w:val="74F33BDF"/>
    <w:rsid w:val="74F5447D"/>
    <w:rsid w:val="74F55BA9"/>
    <w:rsid w:val="74F57957"/>
    <w:rsid w:val="74F636CF"/>
    <w:rsid w:val="74FD05BA"/>
    <w:rsid w:val="74FD4A5E"/>
    <w:rsid w:val="74FD4BA0"/>
    <w:rsid w:val="74FE2E5B"/>
    <w:rsid w:val="74FE790A"/>
    <w:rsid w:val="750117DC"/>
    <w:rsid w:val="7501454E"/>
    <w:rsid w:val="75022074"/>
    <w:rsid w:val="750340FC"/>
    <w:rsid w:val="75047B9A"/>
    <w:rsid w:val="75050D66"/>
    <w:rsid w:val="75071439"/>
    <w:rsid w:val="750758DC"/>
    <w:rsid w:val="75093403"/>
    <w:rsid w:val="750D68EF"/>
    <w:rsid w:val="750E0E19"/>
    <w:rsid w:val="750E5041"/>
    <w:rsid w:val="75104823"/>
    <w:rsid w:val="75120509"/>
    <w:rsid w:val="75136FA0"/>
    <w:rsid w:val="75151DA7"/>
    <w:rsid w:val="75153B55"/>
    <w:rsid w:val="75157FF9"/>
    <w:rsid w:val="75181898"/>
    <w:rsid w:val="75183646"/>
    <w:rsid w:val="751B4EE4"/>
    <w:rsid w:val="751D6EAE"/>
    <w:rsid w:val="751F6782"/>
    <w:rsid w:val="7521074C"/>
    <w:rsid w:val="752124FA"/>
    <w:rsid w:val="752161F5"/>
    <w:rsid w:val="7521699E"/>
    <w:rsid w:val="752244C4"/>
    <w:rsid w:val="75260BD6"/>
    <w:rsid w:val="75263FB5"/>
    <w:rsid w:val="75265D63"/>
    <w:rsid w:val="75267B11"/>
    <w:rsid w:val="75273889"/>
    <w:rsid w:val="75295853"/>
    <w:rsid w:val="75297601"/>
    <w:rsid w:val="752B3379"/>
    <w:rsid w:val="752C70F1"/>
    <w:rsid w:val="752D5343"/>
    <w:rsid w:val="752E2E69"/>
    <w:rsid w:val="7530273D"/>
    <w:rsid w:val="75306BE1"/>
    <w:rsid w:val="75361B5B"/>
    <w:rsid w:val="75383CE8"/>
    <w:rsid w:val="753C37D8"/>
    <w:rsid w:val="753C5586"/>
    <w:rsid w:val="753F177D"/>
    <w:rsid w:val="753F6E24"/>
    <w:rsid w:val="75410DEE"/>
    <w:rsid w:val="754206C3"/>
    <w:rsid w:val="75436915"/>
    <w:rsid w:val="754601B3"/>
    <w:rsid w:val="7548217D"/>
    <w:rsid w:val="75491A51"/>
    <w:rsid w:val="754937FF"/>
    <w:rsid w:val="754B46EE"/>
    <w:rsid w:val="754B57C9"/>
    <w:rsid w:val="754C32EF"/>
    <w:rsid w:val="754D1541"/>
    <w:rsid w:val="754D7793"/>
    <w:rsid w:val="754E350B"/>
    <w:rsid w:val="75501031"/>
    <w:rsid w:val="75504B8E"/>
    <w:rsid w:val="75513B92"/>
    <w:rsid w:val="75524DAA"/>
    <w:rsid w:val="75526B58"/>
    <w:rsid w:val="75543C54"/>
    <w:rsid w:val="755509FA"/>
    <w:rsid w:val="75575F1C"/>
    <w:rsid w:val="755D72AA"/>
    <w:rsid w:val="755E374E"/>
    <w:rsid w:val="75610B49"/>
    <w:rsid w:val="75630D65"/>
    <w:rsid w:val="75660855"/>
    <w:rsid w:val="7568637B"/>
    <w:rsid w:val="756B7C19"/>
    <w:rsid w:val="756E5C8B"/>
    <w:rsid w:val="756E770A"/>
    <w:rsid w:val="75703482"/>
    <w:rsid w:val="75705230"/>
    <w:rsid w:val="75706FDE"/>
    <w:rsid w:val="75717B71"/>
    <w:rsid w:val="75750A98"/>
    <w:rsid w:val="75774810"/>
    <w:rsid w:val="757765BE"/>
    <w:rsid w:val="757840E4"/>
    <w:rsid w:val="75790588"/>
    <w:rsid w:val="757A1C0A"/>
    <w:rsid w:val="757E794D"/>
    <w:rsid w:val="757F36C5"/>
    <w:rsid w:val="75834F63"/>
    <w:rsid w:val="75842A89"/>
    <w:rsid w:val="75851341"/>
    <w:rsid w:val="75864A53"/>
    <w:rsid w:val="758B02BC"/>
    <w:rsid w:val="758B51B3"/>
    <w:rsid w:val="758D193E"/>
    <w:rsid w:val="758E56B6"/>
    <w:rsid w:val="75907680"/>
    <w:rsid w:val="7592164A"/>
    <w:rsid w:val="759251A6"/>
    <w:rsid w:val="75954C96"/>
    <w:rsid w:val="75986535"/>
    <w:rsid w:val="759929D8"/>
    <w:rsid w:val="759C6025"/>
    <w:rsid w:val="759F3BA6"/>
    <w:rsid w:val="75A0590A"/>
    <w:rsid w:val="75A137DC"/>
    <w:rsid w:val="75A35605"/>
    <w:rsid w:val="75A44ED9"/>
    <w:rsid w:val="75A5137D"/>
    <w:rsid w:val="75A629FF"/>
    <w:rsid w:val="75A82C1C"/>
    <w:rsid w:val="75AA1BCC"/>
    <w:rsid w:val="75AE004B"/>
    <w:rsid w:val="75B0387E"/>
    <w:rsid w:val="75B07D22"/>
    <w:rsid w:val="75B25848"/>
    <w:rsid w:val="75B46F90"/>
    <w:rsid w:val="75B74481"/>
    <w:rsid w:val="75B74537"/>
    <w:rsid w:val="75B94E29"/>
    <w:rsid w:val="75BA294F"/>
    <w:rsid w:val="75BA46FD"/>
    <w:rsid w:val="75BA64AB"/>
    <w:rsid w:val="75BC4F67"/>
    <w:rsid w:val="75BF1D13"/>
    <w:rsid w:val="75C15A8B"/>
    <w:rsid w:val="75C17839"/>
    <w:rsid w:val="75C42647"/>
    <w:rsid w:val="75C4732A"/>
    <w:rsid w:val="75C537CD"/>
    <w:rsid w:val="75C612F4"/>
    <w:rsid w:val="75C86896"/>
    <w:rsid w:val="75CA04F1"/>
    <w:rsid w:val="75CB1D81"/>
    <w:rsid w:val="75CC6B6B"/>
    <w:rsid w:val="75D2195C"/>
    <w:rsid w:val="75D532E5"/>
    <w:rsid w:val="75D562C9"/>
    <w:rsid w:val="75DA14E0"/>
    <w:rsid w:val="75DD76E0"/>
    <w:rsid w:val="75DE1077"/>
    <w:rsid w:val="75DE38D9"/>
    <w:rsid w:val="75DF0A95"/>
    <w:rsid w:val="75DF1F4C"/>
    <w:rsid w:val="75E33C54"/>
    <w:rsid w:val="75E34603"/>
    <w:rsid w:val="75E4177A"/>
    <w:rsid w:val="75E6724E"/>
    <w:rsid w:val="75E8126A"/>
    <w:rsid w:val="75EB2B08"/>
    <w:rsid w:val="75EC246C"/>
    <w:rsid w:val="75EF084A"/>
    <w:rsid w:val="75EF43A6"/>
    <w:rsid w:val="75F0011F"/>
    <w:rsid w:val="75F36C8C"/>
    <w:rsid w:val="75F45E61"/>
    <w:rsid w:val="75F61BD9"/>
    <w:rsid w:val="75F66D26"/>
    <w:rsid w:val="75F75951"/>
    <w:rsid w:val="75F81663"/>
    <w:rsid w:val="75FB0851"/>
    <w:rsid w:val="75FC2BB5"/>
    <w:rsid w:val="75FC6AF9"/>
    <w:rsid w:val="75FF6965"/>
    <w:rsid w:val="760065B4"/>
    <w:rsid w:val="760241F6"/>
    <w:rsid w:val="76045978"/>
    <w:rsid w:val="76051E1C"/>
    <w:rsid w:val="760616F0"/>
    <w:rsid w:val="760A11E0"/>
    <w:rsid w:val="760B4F58"/>
    <w:rsid w:val="760B6D06"/>
    <w:rsid w:val="760B7AD9"/>
    <w:rsid w:val="760D3B3A"/>
    <w:rsid w:val="76124DDB"/>
    <w:rsid w:val="761402B1"/>
    <w:rsid w:val="76143E0D"/>
    <w:rsid w:val="761476FB"/>
    <w:rsid w:val="76157B85"/>
    <w:rsid w:val="76165DD7"/>
    <w:rsid w:val="761738FD"/>
    <w:rsid w:val="761A613E"/>
    <w:rsid w:val="761E2EDE"/>
    <w:rsid w:val="761E6A3A"/>
    <w:rsid w:val="76200A04"/>
    <w:rsid w:val="762027B2"/>
    <w:rsid w:val="7621477C"/>
    <w:rsid w:val="7621652A"/>
    <w:rsid w:val="762248D0"/>
    <w:rsid w:val="76265996"/>
    <w:rsid w:val="762A53DF"/>
    <w:rsid w:val="762A7AD4"/>
    <w:rsid w:val="762D3121"/>
    <w:rsid w:val="76312C11"/>
    <w:rsid w:val="763224E5"/>
    <w:rsid w:val="76360227"/>
    <w:rsid w:val="76360A4C"/>
    <w:rsid w:val="76393874"/>
    <w:rsid w:val="763B3A90"/>
    <w:rsid w:val="763B583E"/>
    <w:rsid w:val="763D2621"/>
    <w:rsid w:val="76423EBA"/>
    <w:rsid w:val="76424E1E"/>
    <w:rsid w:val="76432944"/>
    <w:rsid w:val="764346F2"/>
    <w:rsid w:val="764364A0"/>
    <w:rsid w:val="76452218"/>
    <w:rsid w:val="764566BC"/>
    <w:rsid w:val="76472434"/>
    <w:rsid w:val="7647515B"/>
    <w:rsid w:val="76487F5B"/>
    <w:rsid w:val="764A3CD3"/>
    <w:rsid w:val="764A5A81"/>
    <w:rsid w:val="764C17F9"/>
    <w:rsid w:val="764D37C3"/>
    <w:rsid w:val="764D5571"/>
    <w:rsid w:val="764E3D8F"/>
    <w:rsid w:val="764F753B"/>
    <w:rsid w:val="76500BBD"/>
    <w:rsid w:val="76515061"/>
    <w:rsid w:val="76522B87"/>
    <w:rsid w:val="76544B51"/>
    <w:rsid w:val="765468FF"/>
    <w:rsid w:val="765661D4"/>
    <w:rsid w:val="76592141"/>
    <w:rsid w:val="765C7562"/>
    <w:rsid w:val="765D7381"/>
    <w:rsid w:val="765E152C"/>
    <w:rsid w:val="766308F1"/>
    <w:rsid w:val="76640619"/>
    <w:rsid w:val="766528BB"/>
    <w:rsid w:val="766703E1"/>
    <w:rsid w:val="76676633"/>
    <w:rsid w:val="766823AB"/>
    <w:rsid w:val="76685F07"/>
    <w:rsid w:val="766905FD"/>
    <w:rsid w:val="766A6123"/>
    <w:rsid w:val="766C1E9B"/>
    <w:rsid w:val="766C3C49"/>
    <w:rsid w:val="766C59E6"/>
    <w:rsid w:val="766C59F7"/>
    <w:rsid w:val="766F54E7"/>
    <w:rsid w:val="766F7295"/>
    <w:rsid w:val="7671300D"/>
    <w:rsid w:val="76726D86"/>
    <w:rsid w:val="76740D50"/>
    <w:rsid w:val="76746FA2"/>
    <w:rsid w:val="76780840"/>
    <w:rsid w:val="767951E7"/>
    <w:rsid w:val="767B0330"/>
    <w:rsid w:val="767D7C04"/>
    <w:rsid w:val="767E1552"/>
    <w:rsid w:val="767E1BCE"/>
    <w:rsid w:val="767E397C"/>
    <w:rsid w:val="767E572A"/>
    <w:rsid w:val="768076F4"/>
    <w:rsid w:val="7682346D"/>
    <w:rsid w:val="768371E5"/>
    <w:rsid w:val="76852F5D"/>
    <w:rsid w:val="76870A83"/>
    <w:rsid w:val="768D50CE"/>
    <w:rsid w:val="768F7938"/>
    <w:rsid w:val="76902210"/>
    <w:rsid w:val="7690402B"/>
    <w:rsid w:val="7691545E"/>
    <w:rsid w:val="76942021"/>
    <w:rsid w:val="769767EC"/>
    <w:rsid w:val="76982C90"/>
    <w:rsid w:val="76984A3E"/>
    <w:rsid w:val="76A038F3"/>
    <w:rsid w:val="76A07A2B"/>
    <w:rsid w:val="76A10290"/>
    <w:rsid w:val="76A50F09"/>
    <w:rsid w:val="76A553AD"/>
    <w:rsid w:val="76A96C4B"/>
    <w:rsid w:val="76AC2297"/>
    <w:rsid w:val="76AC2E78"/>
    <w:rsid w:val="76AE6010"/>
    <w:rsid w:val="76B4114C"/>
    <w:rsid w:val="76B455F0"/>
    <w:rsid w:val="76B4739E"/>
    <w:rsid w:val="76B850E0"/>
    <w:rsid w:val="76BF021D"/>
    <w:rsid w:val="76BF1F8C"/>
    <w:rsid w:val="76C05D43"/>
    <w:rsid w:val="76C060FE"/>
    <w:rsid w:val="76C1103D"/>
    <w:rsid w:val="76C21ABB"/>
    <w:rsid w:val="76C23869"/>
    <w:rsid w:val="76C577FD"/>
    <w:rsid w:val="76C64EAF"/>
    <w:rsid w:val="76C70E7F"/>
    <w:rsid w:val="76C75323"/>
    <w:rsid w:val="76C84BF7"/>
    <w:rsid w:val="76C9109B"/>
    <w:rsid w:val="76CA3830"/>
    <w:rsid w:val="76CA4E14"/>
    <w:rsid w:val="76CC46E8"/>
    <w:rsid w:val="76CD220E"/>
    <w:rsid w:val="76CE0460"/>
    <w:rsid w:val="76CF6212"/>
    <w:rsid w:val="76D161A2"/>
    <w:rsid w:val="76D23B71"/>
    <w:rsid w:val="76D35A76"/>
    <w:rsid w:val="76D417EE"/>
    <w:rsid w:val="76D46C00"/>
    <w:rsid w:val="76D67314"/>
    <w:rsid w:val="76D80A05"/>
    <w:rsid w:val="76D96E05"/>
    <w:rsid w:val="76DB2B7D"/>
    <w:rsid w:val="76DD06A3"/>
    <w:rsid w:val="76DD1CA6"/>
    <w:rsid w:val="76DF08BF"/>
    <w:rsid w:val="76DF266D"/>
    <w:rsid w:val="76DF5548"/>
    <w:rsid w:val="76E01F41"/>
    <w:rsid w:val="76E063E5"/>
    <w:rsid w:val="76E45ED5"/>
    <w:rsid w:val="76E539FB"/>
    <w:rsid w:val="76E732D0"/>
    <w:rsid w:val="76EC6B38"/>
    <w:rsid w:val="76EE0B02"/>
    <w:rsid w:val="76EE28B0"/>
    <w:rsid w:val="76EE56B6"/>
    <w:rsid w:val="76EF6628"/>
    <w:rsid w:val="76F123A0"/>
    <w:rsid w:val="76F65C09"/>
    <w:rsid w:val="76F7284D"/>
    <w:rsid w:val="76FA22C3"/>
    <w:rsid w:val="76FB0C8A"/>
    <w:rsid w:val="76FB6D7B"/>
    <w:rsid w:val="76FD2AF3"/>
    <w:rsid w:val="76FF4ABD"/>
    <w:rsid w:val="76FF686B"/>
    <w:rsid w:val="77000835"/>
    <w:rsid w:val="7702635B"/>
    <w:rsid w:val="77043E82"/>
    <w:rsid w:val="77057BFA"/>
    <w:rsid w:val="77073972"/>
    <w:rsid w:val="770A30FC"/>
    <w:rsid w:val="770A5210"/>
    <w:rsid w:val="770B16B4"/>
    <w:rsid w:val="770E2F52"/>
    <w:rsid w:val="770E6AAE"/>
    <w:rsid w:val="77130569"/>
    <w:rsid w:val="77132317"/>
    <w:rsid w:val="77161E07"/>
    <w:rsid w:val="77170059"/>
    <w:rsid w:val="77183DD1"/>
    <w:rsid w:val="77187335"/>
    <w:rsid w:val="771A18F7"/>
    <w:rsid w:val="771A36A5"/>
    <w:rsid w:val="771B11CB"/>
    <w:rsid w:val="771C566F"/>
    <w:rsid w:val="771F2A69"/>
    <w:rsid w:val="772063D2"/>
    <w:rsid w:val="772067E2"/>
    <w:rsid w:val="77242776"/>
    <w:rsid w:val="77253DF8"/>
    <w:rsid w:val="7726029C"/>
    <w:rsid w:val="77260942"/>
    <w:rsid w:val="77277B70"/>
    <w:rsid w:val="77297D8C"/>
    <w:rsid w:val="772C162A"/>
    <w:rsid w:val="772C33D8"/>
    <w:rsid w:val="772E0EFE"/>
    <w:rsid w:val="772E7150"/>
    <w:rsid w:val="773109EF"/>
    <w:rsid w:val="7731279D"/>
    <w:rsid w:val="77336515"/>
    <w:rsid w:val="773724A9"/>
    <w:rsid w:val="77376912"/>
    <w:rsid w:val="773A5AF5"/>
    <w:rsid w:val="773D55E5"/>
    <w:rsid w:val="773F135E"/>
    <w:rsid w:val="773F4EBA"/>
    <w:rsid w:val="7740358B"/>
    <w:rsid w:val="774150D6"/>
    <w:rsid w:val="77420E4E"/>
    <w:rsid w:val="77435747"/>
    <w:rsid w:val="77440722"/>
    <w:rsid w:val="77446974"/>
    <w:rsid w:val="77450125"/>
    <w:rsid w:val="77470212"/>
    <w:rsid w:val="77471FC0"/>
    <w:rsid w:val="77493136"/>
    <w:rsid w:val="77493F8A"/>
    <w:rsid w:val="774B7D02"/>
    <w:rsid w:val="774E334F"/>
    <w:rsid w:val="77501FC8"/>
    <w:rsid w:val="77513458"/>
    <w:rsid w:val="77514BED"/>
    <w:rsid w:val="77525D78"/>
    <w:rsid w:val="775274B9"/>
    <w:rsid w:val="77550BB8"/>
    <w:rsid w:val="77555E3A"/>
    <w:rsid w:val="77562203"/>
    <w:rsid w:val="775841CD"/>
    <w:rsid w:val="77584B5D"/>
    <w:rsid w:val="775A1CF3"/>
    <w:rsid w:val="775E5C88"/>
    <w:rsid w:val="775F730A"/>
    <w:rsid w:val="77622461"/>
    <w:rsid w:val="7762504C"/>
    <w:rsid w:val="77636D28"/>
    <w:rsid w:val="77640DC4"/>
    <w:rsid w:val="77664B3C"/>
    <w:rsid w:val="77672662"/>
    <w:rsid w:val="776963DA"/>
    <w:rsid w:val="7771703D"/>
    <w:rsid w:val="77732DB5"/>
    <w:rsid w:val="7775678A"/>
    <w:rsid w:val="77763CE3"/>
    <w:rsid w:val="777728A5"/>
    <w:rsid w:val="77777EFD"/>
    <w:rsid w:val="777803CC"/>
    <w:rsid w:val="77792F92"/>
    <w:rsid w:val="777A2396"/>
    <w:rsid w:val="777A4144"/>
    <w:rsid w:val="777B7B55"/>
    <w:rsid w:val="777D59E2"/>
    <w:rsid w:val="777F79AC"/>
    <w:rsid w:val="77813724"/>
    <w:rsid w:val="778154D2"/>
    <w:rsid w:val="77832A4C"/>
    <w:rsid w:val="778356EE"/>
    <w:rsid w:val="77846D70"/>
    <w:rsid w:val="77866F8C"/>
    <w:rsid w:val="77882D05"/>
    <w:rsid w:val="77890A18"/>
    <w:rsid w:val="778B00FF"/>
    <w:rsid w:val="778C0ADA"/>
    <w:rsid w:val="778D7399"/>
    <w:rsid w:val="778E5E41"/>
    <w:rsid w:val="77905D1A"/>
    <w:rsid w:val="77935205"/>
    <w:rsid w:val="77955421"/>
    <w:rsid w:val="77972F48"/>
    <w:rsid w:val="77976AA4"/>
    <w:rsid w:val="779A2A38"/>
    <w:rsid w:val="779C055E"/>
    <w:rsid w:val="779C230C"/>
    <w:rsid w:val="779C67B0"/>
    <w:rsid w:val="779D7E32"/>
    <w:rsid w:val="779F0A07"/>
    <w:rsid w:val="77A411C1"/>
    <w:rsid w:val="77A46D61"/>
    <w:rsid w:val="77A47413"/>
    <w:rsid w:val="77A64F39"/>
    <w:rsid w:val="77A7501B"/>
    <w:rsid w:val="77A86F03"/>
    <w:rsid w:val="77A94A29"/>
    <w:rsid w:val="77A95D3A"/>
    <w:rsid w:val="77AE0291"/>
    <w:rsid w:val="77AF6556"/>
    <w:rsid w:val="77B16794"/>
    <w:rsid w:val="77B238DE"/>
    <w:rsid w:val="77B37656"/>
    <w:rsid w:val="77B5517C"/>
    <w:rsid w:val="77B565A5"/>
    <w:rsid w:val="77B706CD"/>
    <w:rsid w:val="77B75398"/>
    <w:rsid w:val="77B85277"/>
    <w:rsid w:val="77BA09E4"/>
    <w:rsid w:val="77BE6726"/>
    <w:rsid w:val="77BF249E"/>
    <w:rsid w:val="77BF5FFA"/>
    <w:rsid w:val="77C16217"/>
    <w:rsid w:val="77C17FC5"/>
    <w:rsid w:val="77C27899"/>
    <w:rsid w:val="77C67389"/>
    <w:rsid w:val="77C81353"/>
    <w:rsid w:val="77C96E79"/>
    <w:rsid w:val="77CB1F0C"/>
    <w:rsid w:val="77CE623E"/>
    <w:rsid w:val="77CF26E1"/>
    <w:rsid w:val="77D20625"/>
    <w:rsid w:val="77D31AA6"/>
    <w:rsid w:val="77D73344"/>
    <w:rsid w:val="77D81F09"/>
    <w:rsid w:val="77DA1086"/>
    <w:rsid w:val="77DA4BE2"/>
    <w:rsid w:val="77DC6BAC"/>
    <w:rsid w:val="77DD36C8"/>
    <w:rsid w:val="77DE0B76"/>
    <w:rsid w:val="77DF044B"/>
    <w:rsid w:val="77DF6A38"/>
    <w:rsid w:val="77E43BE5"/>
    <w:rsid w:val="77E8017E"/>
    <w:rsid w:val="77E912C9"/>
    <w:rsid w:val="77EB2E35"/>
    <w:rsid w:val="77EB5041"/>
    <w:rsid w:val="77EF68E0"/>
    <w:rsid w:val="77F02658"/>
    <w:rsid w:val="77F116DF"/>
    <w:rsid w:val="77F2017E"/>
    <w:rsid w:val="77F24622"/>
    <w:rsid w:val="77F57C6E"/>
    <w:rsid w:val="77F82F4F"/>
    <w:rsid w:val="77F9150C"/>
    <w:rsid w:val="77F9775E"/>
    <w:rsid w:val="77FA5285"/>
    <w:rsid w:val="77FC0FFD"/>
    <w:rsid w:val="77FC1EE6"/>
    <w:rsid w:val="77FC724F"/>
    <w:rsid w:val="77FD4147"/>
    <w:rsid w:val="77FE6B23"/>
    <w:rsid w:val="7801430A"/>
    <w:rsid w:val="78034139"/>
    <w:rsid w:val="780600CD"/>
    <w:rsid w:val="78063C29"/>
    <w:rsid w:val="780A196C"/>
    <w:rsid w:val="780D320A"/>
    <w:rsid w:val="780D398B"/>
    <w:rsid w:val="780D4FB8"/>
    <w:rsid w:val="78113D93"/>
    <w:rsid w:val="781225CE"/>
    <w:rsid w:val="78135B31"/>
    <w:rsid w:val="78136181"/>
    <w:rsid w:val="78140B23"/>
    <w:rsid w:val="78144598"/>
    <w:rsid w:val="78153D97"/>
    <w:rsid w:val="78197E01"/>
    <w:rsid w:val="781E0F73"/>
    <w:rsid w:val="781E5417"/>
    <w:rsid w:val="78202F3D"/>
    <w:rsid w:val="78212D05"/>
    <w:rsid w:val="78222C3F"/>
    <w:rsid w:val="78226EDA"/>
    <w:rsid w:val="782347DB"/>
    <w:rsid w:val="782567A5"/>
    <w:rsid w:val="78276B74"/>
    <w:rsid w:val="78281DF2"/>
    <w:rsid w:val="782E2738"/>
    <w:rsid w:val="782F4F2E"/>
    <w:rsid w:val="78300CA6"/>
    <w:rsid w:val="78342545"/>
    <w:rsid w:val="783469E8"/>
    <w:rsid w:val="783764D9"/>
    <w:rsid w:val="78393FFF"/>
    <w:rsid w:val="783A38D3"/>
    <w:rsid w:val="783B3816"/>
    <w:rsid w:val="783C589D"/>
    <w:rsid w:val="783E1615"/>
    <w:rsid w:val="7840538D"/>
    <w:rsid w:val="78436C2C"/>
    <w:rsid w:val="78450BF6"/>
    <w:rsid w:val="78452B7C"/>
    <w:rsid w:val="78455924"/>
    <w:rsid w:val="784604CA"/>
    <w:rsid w:val="78485FF0"/>
    <w:rsid w:val="78496619"/>
    <w:rsid w:val="784974F5"/>
    <w:rsid w:val="784A1D68"/>
    <w:rsid w:val="784B4831"/>
    <w:rsid w:val="784B5AE0"/>
    <w:rsid w:val="784F55D0"/>
    <w:rsid w:val="7851759A"/>
    <w:rsid w:val="78524B43"/>
    <w:rsid w:val="78574485"/>
    <w:rsid w:val="7858069A"/>
    <w:rsid w:val="78582A39"/>
    <w:rsid w:val="785901FD"/>
    <w:rsid w:val="785C1A9B"/>
    <w:rsid w:val="785F128C"/>
    <w:rsid w:val="7860333A"/>
    <w:rsid w:val="786170B2"/>
    <w:rsid w:val="78632E2A"/>
    <w:rsid w:val="7864559E"/>
    <w:rsid w:val="78650950"/>
    <w:rsid w:val="78656BA2"/>
    <w:rsid w:val="7866291A"/>
    <w:rsid w:val="786646C8"/>
    <w:rsid w:val="786A240A"/>
    <w:rsid w:val="786A474B"/>
    <w:rsid w:val="786C6182"/>
    <w:rsid w:val="786D1EFA"/>
    <w:rsid w:val="786E7279"/>
    <w:rsid w:val="786F17CF"/>
    <w:rsid w:val="786F5C73"/>
    <w:rsid w:val="786F7A21"/>
    <w:rsid w:val="787119EB"/>
    <w:rsid w:val="7872306D"/>
    <w:rsid w:val="78736567"/>
    <w:rsid w:val="78745037"/>
    <w:rsid w:val="78762B5D"/>
    <w:rsid w:val="7879264D"/>
    <w:rsid w:val="787943FB"/>
    <w:rsid w:val="788469DE"/>
    <w:rsid w:val="78857244"/>
    <w:rsid w:val="78880AE2"/>
    <w:rsid w:val="788A2AAC"/>
    <w:rsid w:val="788B412F"/>
    <w:rsid w:val="788F00C3"/>
    <w:rsid w:val="788F1E71"/>
    <w:rsid w:val="78915BE9"/>
    <w:rsid w:val="7892370F"/>
    <w:rsid w:val="789254BD"/>
    <w:rsid w:val="78926FC6"/>
    <w:rsid w:val="78986F77"/>
    <w:rsid w:val="78994A9D"/>
    <w:rsid w:val="7899684C"/>
    <w:rsid w:val="789B0816"/>
    <w:rsid w:val="789C633C"/>
    <w:rsid w:val="789D458E"/>
    <w:rsid w:val="789F69F9"/>
    <w:rsid w:val="78A1707A"/>
    <w:rsid w:val="78A21BA4"/>
    <w:rsid w:val="78A3591C"/>
    <w:rsid w:val="78A4286B"/>
    <w:rsid w:val="78A43B6E"/>
    <w:rsid w:val="78A551F0"/>
    <w:rsid w:val="78AA2807"/>
    <w:rsid w:val="78AA6AF2"/>
    <w:rsid w:val="78AC47D1"/>
    <w:rsid w:val="78AC657F"/>
    <w:rsid w:val="78AD22F7"/>
    <w:rsid w:val="78AF42C1"/>
    <w:rsid w:val="78B23CEB"/>
    <w:rsid w:val="78B2790D"/>
    <w:rsid w:val="78B418D7"/>
    <w:rsid w:val="78B47B29"/>
    <w:rsid w:val="78B611AB"/>
    <w:rsid w:val="78B638A1"/>
    <w:rsid w:val="78B673FD"/>
    <w:rsid w:val="78B95140"/>
    <w:rsid w:val="78BB4DC3"/>
    <w:rsid w:val="78BD078C"/>
    <w:rsid w:val="78BE2756"/>
    <w:rsid w:val="78C02044"/>
    <w:rsid w:val="78C23FF4"/>
    <w:rsid w:val="78C37D6C"/>
    <w:rsid w:val="78C47284"/>
    <w:rsid w:val="78C80EDF"/>
    <w:rsid w:val="78CA30F6"/>
    <w:rsid w:val="78CA4C57"/>
    <w:rsid w:val="78CC37D6"/>
    <w:rsid w:val="78CC6C21"/>
    <w:rsid w:val="78CD4747"/>
    <w:rsid w:val="78CE0BEB"/>
    <w:rsid w:val="78CF04BF"/>
    <w:rsid w:val="78CF4963"/>
    <w:rsid w:val="78CF6711"/>
    <w:rsid w:val="78CF6CC0"/>
    <w:rsid w:val="78D13B60"/>
    <w:rsid w:val="78D36201"/>
    <w:rsid w:val="78D37FAF"/>
    <w:rsid w:val="78D6184E"/>
    <w:rsid w:val="78D855C6"/>
    <w:rsid w:val="78DB50B6"/>
    <w:rsid w:val="78DB6E64"/>
    <w:rsid w:val="78DC00DC"/>
    <w:rsid w:val="78DD156C"/>
    <w:rsid w:val="78DD2BDC"/>
    <w:rsid w:val="78DE6954"/>
    <w:rsid w:val="78DF0898"/>
    <w:rsid w:val="78E0091E"/>
    <w:rsid w:val="78E026CC"/>
    <w:rsid w:val="78E13367"/>
    <w:rsid w:val="78E201F2"/>
    <w:rsid w:val="78E232C5"/>
    <w:rsid w:val="78E35D19"/>
    <w:rsid w:val="78E55F35"/>
    <w:rsid w:val="78E6261E"/>
    <w:rsid w:val="78E75809"/>
    <w:rsid w:val="78E977D3"/>
    <w:rsid w:val="78EA354B"/>
    <w:rsid w:val="78EC72C3"/>
    <w:rsid w:val="78EF0B61"/>
    <w:rsid w:val="78F16688"/>
    <w:rsid w:val="78F32400"/>
    <w:rsid w:val="78F341AE"/>
    <w:rsid w:val="78F36F70"/>
    <w:rsid w:val="78F44C22"/>
    <w:rsid w:val="78F543CA"/>
    <w:rsid w:val="78F65A4C"/>
    <w:rsid w:val="78F91E55"/>
    <w:rsid w:val="78F9378E"/>
    <w:rsid w:val="78FD33FB"/>
    <w:rsid w:val="78FE2B52"/>
    <w:rsid w:val="78FF0DA4"/>
    <w:rsid w:val="79020895"/>
    <w:rsid w:val="79022643"/>
    <w:rsid w:val="79052133"/>
    <w:rsid w:val="79061C08"/>
    <w:rsid w:val="79077C59"/>
    <w:rsid w:val="79084528"/>
    <w:rsid w:val="790A14F7"/>
    <w:rsid w:val="790A7749"/>
    <w:rsid w:val="790B4247"/>
    <w:rsid w:val="790F4D60"/>
    <w:rsid w:val="79144124"/>
    <w:rsid w:val="791505C8"/>
    <w:rsid w:val="791757D6"/>
    <w:rsid w:val="7917715F"/>
    <w:rsid w:val="791800B8"/>
    <w:rsid w:val="79183C14"/>
    <w:rsid w:val="791906D8"/>
    <w:rsid w:val="7919798C"/>
    <w:rsid w:val="791B1956"/>
    <w:rsid w:val="791B54B2"/>
    <w:rsid w:val="791D56CF"/>
    <w:rsid w:val="791F131F"/>
    <w:rsid w:val="791F1447"/>
    <w:rsid w:val="792425B9"/>
    <w:rsid w:val="79254583"/>
    <w:rsid w:val="792A3948"/>
    <w:rsid w:val="792C5064"/>
    <w:rsid w:val="792C6E7D"/>
    <w:rsid w:val="792C76C0"/>
    <w:rsid w:val="792E3438"/>
    <w:rsid w:val="792F0F5E"/>
    <w:rsid w:val="792F355C"/>
    <w:rsid w:val="792F71B0"/>
    <w:rsid w:val="793236F3"/>
    <w:rsid w:val="793425DB"/>
    <w:rsid w:val="79346574"/>
    <w:rsid w:val="79356116"/>
    <w:rsid w:val="793622EC"/>
    <w:rsid w:val="79382508"/>
    <w:rsid w:val="79387AF1"/>
    <w:rsid w:val="793A002E"/>
    <w:rsid w:val="793B7903"/>
    <w:rsid w:val="793F363C"/>
    <w:rsid w:val="79420C91"/>
    <w:rsid w:val="79421A53"/>
    <w:rsid w:val="79424F6E"/>
    <w:rsid w:val="79425135"/>
    <w:rsid w:val="7943341B"/>
    <w:rsid w:val="79444A09"/>
    <w:rsid w:val="79464C25"/>
    <w:rsid w:val="794762A8"/>
    <w:rsid w:val="79490272"/>
    <w:rsid w:val="794B223C"/>
    <w:rsid w:val="794C0F66"/>
    <w:rsid w:val="794C38BE"/>
    <w:rsid w:val="794F06AD"/>
    <w:rsid w:val="79507FD7"/>
    <w:rsid w:val="795310F0"/>
    <w:rsid w:val="79532E9E"/>
    <w:rsid w:val="79570BE0"/>
    <w:rsid w:val="79586707"/>
    <w:rsid w:val="79592940"/>
    <w:rsid w:val="795D5ACB"/>
    <w:rsid w:val="79601FFF"/>
    <w:rsid w:val="796230E1"/>
    <w:rsid w:val="796432FD"/>
    <w:rsid w:val="79661644"/>
    <w:rsid w:val="79674B9C"/>
    <w:rsid w:val="7967643E"/>
    <w:rsid w:val="796B4D38"/>
    <w:rsid w:val="796C5D0E"/>
    <w:rsid w:val="797177C8"/>
    <w:rsid w:val="79725A1A"/>
    <w:rsid w:val="7973709D"/>
    <w:rsid w:val="79752E15"/>
    <w:rsid w:val="797572B9"/>
    <w:rsid w:val="79766B8D"/>
    <w:rsid w:val="79780B57"/>
    <w:rsid w:val="79786DA9"/>
    <w:rsid w:val="79795C18"/>
    <w:rsid w:val="797D616D"/>
    <w:rsid w:val="797E49AB"/>
    <w:rsid w:val="797F3C93"/>
    <w:rsid w:val="7980087A"/>
    <w:rsid w:val="798017B9"/>
    <w:rsid w:val="7981328D"/>
    <w:rsid w:val="798412AA"/>
    <w:rsid w:val="79856DD0"/>
    <w:rsid w:val="79865022"/>
    <w:rsid w:val="79870D9A"/>
    <w:rsid w:val="79876FEC"/>
    <w:rsid w:val="79880B42"/>
    <w:rsid w:val="79891A2A"/>
    <w:rsid w:val="798A16BF"/>
    <w:rsid w:val="798B6FB4"/>
    <w:rsid w:val="798F6035"/>
    <w:rsid w:val="79927E6B"/>
    <w:rsid w:val="79933F60"/>
    <w:rsid w:val="7997722F"/>
    <w:rsid w:val="79984D55"/>
    <w:rsid w:val="79986B03"/>
    <w:rsid w:val="79997C58"/>
    <w:rsid w:val="799A0ACD"/>
    <w:rsid w:val="799A1262"/>
    <w:rsid w:val="799A6D1F"/>
    <w:rsid w:val="79A27982"/>
    <w:rsid w:val="79A60F46"/>
    <w:rsid w:val="79A62A6D"/>
    <w:rsid w:val="79A7714B"/>
    <w:rsid w:val="79A8143C"/>
    <w:rsid w:val="79AA730F"/>
    <w:rsid w:val="79AE4579"/>
    <w:rsid w:val="79AE6327"/>
    <w:rsid w:val="79B24069"/>
    <w:rsid w:val="79B37DE1"/>
    <w:rsid w:val="79B576B5"/>
    <w:rsid w:val="79B7167F"/>
    <w:rsid w:val="79B7342D"/>
    <w:rsid w:val="79B778D1"/>
    <w:rsid w:val="79B80F53"/>
    <w:rsid w:val="79BA116F"/>
    <w:rsid w:val="79BB609A"/>
    <w:rsid w:val="79BC4EE7"/>
    <w:rsid w:val="79BC6C95"/>
    <w:rsid w:val="79BE0C60"/>
    <w:rsid w:val="79BF22E2"/>
    <w:rsid w:val="79C0463F"/>
    <w:rsid w:val="79C318FE"/>
    <w:rsid w:val="79C43D9C"/>
    <w:rsid w:val="79C618C2"/>
    <w:rsid w:val="79C8563A"/>
    <w:rsid w:val="79C913B2"/>
    <w:rsid w:val="79CB512B"/>
    <w:rsid w:val="79CD2C51"/>
    <w:rsid w:val="79D02741"/>
    <w:rsid w:val="79D0629D"/>
    <w:rsid w:val="79D264B9"/>
    <w:rsid w:val="79D42231"/>
    <w:rsid w:val="79D62024"/>
    <w:rsid w:val="79D73ACF"/>
    <w:rsid w:val="79D7762B"/>
    <w:rsid w:val="79D81204"/>
    <w:rsid w:val="79D97847"/>
    <w:rsid w:val="79DA711C"/>
    <w:rsid w:val="79DC2E94"/>
    <w:rsid w:val="79DC7338"/>
    <w:rsid w:val="79DF2984"/>
    <w:rsid w:val="79E05138"/>
    <w:rsid w:val="79E13D7A"/>
    <w:rsid w:val="79E306C6"/>
    <w:rsid w:val="79E81839"/>
    <w:rsid w:val="79E93803"/>
    <w:rsid w:val="79E955B1"/>
    <w:rsid w:val="79E9735F"/>
    <w:rsid w:val="79EB30D7"/>
    <w:rsid w:val="79EC0B0A"/>
    <w:rsid w:val="79ED50A1"/>
    <w:rsid w:val="79ED6E4F"/>
    <w:rsid w:val="79EF0BCC"/>
    <w:rsid w:val="79EF399B"/>
    <w:rsid w:val="79F0693F"/>
    <w:rsid w:val="79F20909"/>
    <w:rsid w:val="79F2497C"/>
    <w:rsid w:val="79F2754D"/>
    <w:rsid w:val="79F3642F"/>
    <w:rsid w:val="79F4097E"/>
    <w:rsid w:val="79F44681"/>
    <w:rsid w:val="79F57AA2"/>
    <w:rsid w:val="79F6397A"/>
    <w:rsid w:val="79F707EE"/>
    <w:rsid w:val="79F77CCE"/>
    <w:rsid w:val="79F842AC"/>
    <w:rsid w:val="79F857F4"/>
    <w:rsid w:val="79FA156C"/>
    <w:rsid w:val="79FA77BE"/>
    <w:rsid w:val="79FD2E0A"/>
    <w:rsid w:val="79FE105C"/>
    <w:rsid w:val="79FF3026"/>
    <w:rsid w:val="7A036672"/>
    <w:rsid w:val="7A04063C"/>
    <w:rsid w:val="7A0423EA"/>
    <w:rsid w:val="7A054CFA"/>
    <w:rsid w:val="7A067F11"/>
    <w:rsid w:val="7A081EDB"/>
    <w:rsid w:val="7A083C89"/>
    <w:rsid w:val="7A0C2CC5"/>
    <w:rsid w:val="7A0D74F1"/>
    <w:rsid w:val="7A102B3D"/>
    <w:rsid w:val="7A1179E4"/>
    <w:rsid w:val="7A124B07"/>
    <w:rsid w:val="7A13262E"/>
    <w:rsid w:val="7A137FC7"/>
    <w:rsid w:val="7A146AD1"/>
    <w:rsid w:val="7A1528E7"/>
    <w:rsid w:val="7A1545F8"/>
    <w:rsid w:val="7A170370"/>
    <w:rsid w:val="7A170EA1"/>
    <w:rsid w:val="7A177DD8"/>
    <w:rsid w:val="7A187C44"/>
    <w:rsid w:val="7A1940E8"/>
    <w:rsid w:val="7A1A1B20"/>
    <w:rsid w:val="7A1A39BC"/>
    <w:rsid w:val="7A1B0F29"/>
    <w:rsid w:val="7A1C7734"/>
    <w:rsid w:val="7A1E16FE"/>
    <w:rsid w:val="7A1E34AC"/>
    <w:rsid w:val="7A1E4635"/>
    <w:rsid w:val="7A1E525A"/>
    <w:rsid w:val="7A1F0FD2"/>
    <w:rsid w:val="7A222A8F"/>
    <w:rsid w:val="7A224631"/>
    <w:rsid w:val="7A232871"/>
    <w:rsid w:val="7A252A8D"/>
    <w:rsid w:val="7A266E85"/>
    <w:rsid w:val="7A275136"/>
    <w:rsid w:val="7A2839AD"/>
    <w:rsid w:val="7A28432B"/>
    <w:rsid w:val="7A293BFF"/>
    <w:rsid w:val="7A2B7977"/>
    <w:rsid w:val="7A3031E0"/>
    <w:rsid w:val="7A3074EF"/>
    <w:rsid w:val="7A3251AA"/>
    <w:rsid w:val="7A340F22"/>
    <w:rsid w:val="7A371450"/>
    <w:rsid w:val="7A3727C0"/>
    <w:rsid w:val="7A37631C"/>
    <w:rsid w:val="7A3A405E"/>
    <w:rsid w:val="7A3C7DD6"/>
    <w:rsid w:val="7A3E76AA"/>
    <w:rsid w:val="7A3F3423"/>
    <w:rsid w:val="7A4153ED"/>
    <w:rsid w:val="7A41719B"/>
    <w:rsid w:val="7A431165"/>
    <w:rsid w:val="7A450D97"/>
    <w:rsid w:val="7A462A03"/>
    <w:rsid w:val="7A467E34"/>
    <w:rsid w:val="7A4822D7"/>
    <w:rsid w:val="7A4874F5"/>
    <w:rsid w:val="7A4B0019"/>
    <w:rsid w:val="7A4B35FF"/>
    <w:rsid w:val="7A4C22A7"/>
    <w:rsid w:val="7A4E3666"/>
    <w:rsid w:val="7A4F7B0A"/>
    <w:rsid w:val="7A513882"/>
    <w:rsid w:val="7A5213A8"/>
    <w:rsid w:val="7A522889"/>
    <w:rsid w:val="7A523156"/>
    <w:rsid w:val="7A546ECE"/>
    <w:rsid w:val="7A57076C"/>
    <w:rsid w:val="7A5769BE"/>
    <w:rsid w:val="7A5B7A8E"/>
    <w:rsid w:val="7A5F2964"/>
    <w:rsid w:val="7A60132A"/>
    <w:rsid w:val="7A601D17"/>
    <w:rsid w:val="7A603AC5"/>
    <w:rsid w:val="7A637111"/>
    <w:rsid w:val="7A6510DB"/>
    <w:rsid w:val="7A652E89"/>
    <w:rsid w:val="7A680BCB"/>
    <w:rsid w:val="7A6A04A0"/>
    <w:rsid w:val="7A6B15C4"/>
    <w:rsid w:val="7A6B1FA0"/>
    <w:rsid w:val="7A6D7F90"/>
    <w:rsid w:val="7A715CD2"/>
    <w:rsid w:val="7A721E73"/>
    <w:rsid w:val="7A7237F8"/>
    <w:rsid w:val="7A7255A6"/>
    <w:rsid w:val="7A772BBC"/>
    <w:rsid w:val="7A785D11"/>
    <w:rsid w:val="7A794B87"/>
    <w:rsid w:val="7A796935"/>
    <w:rsid w:val="7A7B08FF"/>
    <w:rsid w:val="7A7C01D3"/>
    <w:rsid w:val="7A7C6425"/>
    <w:rsid w:val="7A7D6F86"/>
    <w:rsid w:val="7A7E3F4B"/>
    <w:rsid w:val="7A7F1A71"/>
    <w:rsid w:val="7A804167"/>
    <w:rsid w:val="7A822A1F"/>
    <w:rsid w:val="7A835A05"/>
    <w:rsid w:val="7A85177D"/>
    <w:rsid w:val="7A8552D9"/>
    <w:rsid w:val="7A88301C"/>
    <w:rsid w:val="7A885CD7"/>
    <w:rsid w:val="7A8C2A1A"/>
    <w:rsid w:val="7A8E473B"/>
    <w:rsid w:val="7A904BDB"/>
    <w:rsid w:val="7A911ED0"/>
    <w:rsid w:val="7A91688C"/>
    <w:rsid w:val="7A94376E"/>
    <w:rsid w:val="7A951295"/>
    <w:rsid w:val="7A965738"/>
    <w:rsid w:val="7A992B33"/>
    <w:rsid w:val="7A996FD7"/>
    <w:rsid w:val="7A9B4AFD"/>
    <w:rsid w:val="7A9B68AB"/>
    <w:rsid w:val="7A9E283F"/>
    <w:rsid w:val="7A9E639B"/>
    <w:rsid w:val="7AA22BED"/>
    <w:rsid w:val="7AA634A2"/>
    <w:rsid w:val="7AA65250"/>
    <w:rsid w:val="7AA66524"/>
    <w:rsid w:val="7AA8546C"/>
    <w:rsid w:val="7AA8721A"/>
    <w:rsid w:val="7AAB61B6"/>
    <w:rsid w:val="7AAC0AB8"/>
    <w:rsid w:val="7AAD4830"/>
    <w:rsid w:val="7AB12572"/>
    <w:rsid w:val="7AB21E46"/>
    <w:rsid w:val="7AB4796D"/>
    <w:rsid w:val="7AB61937"/>
    <w:rsid w:val="7AB63A8D"/>
    <w:rsid w:val="7AB705A7"/>
    <w:rsid w:val="7AB7745D"/>
    <w:rsid w:val="7ABB0CFB"/>
    <w:rsid w:val="7ABB6F4D"/>
    <w:rsid w:val="7AC0190A"/>
    <w:rsid w:val="7AC04563"/>
    <w:rsid w:val="7AC35E02"/>
    <w:rsid w:val="7AC53928"/>
    <w:rsid w:val="7AC754CB"/>
    <w:rsid w:val="7AC82377"/>
    <w:rsid w:val="7ACA2CF2"/>
    <w:rsid w:val="7ACA3634"/>
    <w:rsid w:val="7ACA53E2"/>
    <w:rsid w:val="7ACA5C8C"/>
    <w:rsid w:val="7ACA7190"/>
    <w:rsid w:val="7ACB4CB6"/>
    <w:rsid w:val="7ACD6C80"/>
    <w:rsid w:val="7ACF0C4A"/>
    <w:rsid w:val="7ACF47A6"/>
    <w:rsid w:val="7AD24297"/>
    <w:rsid w:val="7AD26045"/>
    <w:rsid w:val="7AD324E9"/>
    <w:rsid w:val="7AD41DBD"/>
    <w:rsid w:val="7AD46261"/>
    <w:rsid w:val="7AD61FD9"/>
    <w:rsid w:val="7AD63D87"/>
    <w:rsid w:val="7AD672E3"/>
    <w:rsid w:val="7AD718AD"/>
    <w:rsid w:val="7AD7365B"/>
    <w:rsid w:val="7AD85D51"/>
    <w:rsid w:val="7AD8769F"/>
    <w:rsid w:val="7AD93877"/>
    <w:rsid w:val="7ADE2C3C"/>
    <w:rsid w:val="7AE00762"/>
    <w:rsid w:val="7AE06072"/>
    <w:rsid w:val="7AE2272C"/>
    <w:rsid w:val="7AE37F43"/>
    <w:rsid w:val="7AE75F94"/>
    <w:rsid w:val="7AE83ABA"/>
    <w:rsid w:val="7AEA15E0"/>
    <w:rsid w:val="7AEA7832"/>
    <w:rsid w:val="7AEC5358"/>
    <w:rsid w:val="7AED2E7F"/>
    <w:rsid w:val="7AEF7C93"/>
    <w:rsid w:val="7AF10BC1"/>
    <w:rsid w:val="7AF1471D"/>
    <w:rsid w:val="7AF16E13"/>
    <w:rsid w:val="7AF4420D"/>
    <w:rsid w:val="7AF55978"/>
    <w:rsid w:val="7AFB3BDC"/>
    <w:rsid w:val="7B000E04"/>
    <w:rsid w:val="7B002BB2"/>
    <w:rsid w:val="7B032A3A"/>
    <w:rsid w:val="7B0408F4"/>
    <w:rsid w:val="7B087CB8"/>
    <w:rsid w:val="7B0D52CF"/>
    <w:rsid w:val="7B113011"/>
    <w:rsid w:val="7B114DBF"/>
    <w:rsid w:val="7B1165E0"/>
    <w:rsid w:val="7B127A70"/>
    <w:rsid w:val="7B1448AF"/>
    <w:rsid w:val="7B164183"/>
    <w:rsid w:val="7B166879"/>
    <w:rsid w:val="7B18439F"/>
    <w:rsid w:val="7B193C74"/>
    <w:rsid w:val="7B1A261A"/>
    <w:rsid w:val="7B1B3E90"/>
    <w:rsid w:val="7B1C4E34"/>
    <w:rsid w:val="7B1D5512"/>
    <w:rsid w:val="7B2014A6"/>
    <w:rsid w:val="7B205002"/>
    <w:rsid w:val="7B22169F"/>
    <w:rsid w:val="7B234AF2"/>
    <w:rsid w:val="7B2368A0"/>
    <w:rsid w:val="7B25086A"/>
    <w:rsid w:val="7B29035B"/>
    <w:rsid w:val="7B292109"/>
    <w:rsid w:val="7B2C4A37"/>
    <w:rsid w:val="7B2E771F"/>
    <w:rsid w:val="7B2F3497"/>
    <w:rsid w:val="7B334D35"/>
    <w:rsid w:val="7B362A78"/>
    <w:rsid w:val="7B3702FB"/>
    <w:rsid w:val="7B38059E"/>
    <w:rsid w:val="7B3A2568"/>
    <w:rsid w:val="7B3A4316"/>
    <w:rsid w:val="7B3E36DA"/>
    <w:rsid w:val="7B3F192C"/>
    <w:rsid w:val="7B3F7B7E"/>
    <w:rsid w:val="7B445194"/>
    <w:rsid w:val="7B44719A"/>
    <w:rsid w:val="7B494559"/>
    <w:rsid w:val="7B4B7C01"/>
    <w:rsid w:val="7B4C4049"/>
    <w:rsid w:val="7B4E1B6F"/>
    <w:rsid w:val="7B4E7DC1"/>
    <w:rsid w:val="7B51340D"/>
    <w:rsid w:val="7B590514"/>
    <w:rsid w:val="7B5A3695"/>
    <w:rsid w:val="7B5B0730"/>
    <w:rsid w:val="7B607AF4"/>
    <w:rsid w:val="7B641393"/>
    <w:rsid w:val="7B643141"/>
    <w:rsid w:val="7B6475E5"/>
    <w:rsid w:val="7B672C31"/>
    <w:rsid w:val="7B687274"/>
    <w:rsid w:val="7B6A5FA6"/>
    <w:rsid w:val="7B6D2A77"/>
    <w:rsid w:val="7B6E6B0F"/>
    <w:rsid w:val="7B6F6FFC"/>
    <w:rsid w:val="7B7122A7"/>
    <w:rsid w:val="7B722DAC"/>
    <w:rsid w:val="7B7315D6"/>
    <w:rsid w:val="7B737828"/>
    <w:rsid w:val="7B7517F2"/>
    <w:rsid w:val="7B75534E"/>
    <w:rsid w:val="7B755AFC"/>
    <w:rsid w:val="7B7664D6"/>
    <w:rsid w:val="7B767318"/>
    <w:rsid w:val="7B783090"/>
    <w:rsid w:val="7B7B048A"/>
    <w:rsid w:val="7B7B559F"/>
    <w:rsid w:val="7B7C6A2F"/>
    <w:rsid w:val="7B803CF3"/>
    <w:rsid w:val="7B812DFB"/>
    <w:rsid w:val="7B827A6B"/>
    <w:rsid w:val="7B8437E3"/>
    <w:rsid w:val="7B871525"/>
    <w:rsid w:val="7B875081"/>
    <w:rsid w:val="7B8A1033"/>
    <w:rsid w:val="7B8A4479"/>
    <w:rsid w:val="7B8B4B71"/>
    <w:rsid w:val="7B902188"/>
    <w:rsid w:val="7B931C78"/>
    <w:rsid w:val="7B933A26"/>
    <w:rsid w:val="7B971768"/>
    <w:rsid w:val="7B97648D"/>
    <w:rsid w:val="7B9A1258"/>
    <w:rsid w:val="7B9A2C07"/>
    <w:rsid w:val="7B9A4DB4"/>
    <w:rsid w:val="7B9A6B62"/>
    <w:rsid w:val="7B9B0B2D"/>
    <w:rsid w:val="7B9B1FB8"/>
    <w:rsid w:val="7B9B28DB"/>
    <w:rsid w:val="7B9C6D7F"/>
    <w:rsid w:val="7B9D48A5"/>
    <w:rsid w:val="7B9D6653"/>
    <w:rsid w:val="7B9E207A"/>
    <w:rsid w:val="7B9F350A"/>
    <w:rsid w:val="7BA07ADE"/>
    <w:rsid w:val="7BA07EF1"/>
    <w:rsid w:val="7BA14395"/>
    <w:rsid w:val="7BA15C7B"/>
    <w:rsid w:val="7BA43E85"/>
    <w:rsid w:val="7BA45C33"/>
    <w:rsid w:val="7BA63759"/>
    <w:rsid w:val="7BA9149B"/>
    <w:rsid w:val="7BAB1AAD"/>
    <w:rsid w:val="7BAB7769"/>
    <w:rsid w:val="7BAC4AE8"/>
    <w:rsid w:val="7BAD0F8C"/>
    <w:rsid w:val="7BAE0860"/>
    <w:rsid w:val="7BAE260E"/>
    <w:rsid w:val="7BB120FE"/>
    <w:rsid w:val="7BB32DB4"/>
    <w:rsid w:val="7BB340C8"/>
    <w:rsid w:val="7BB57E40"/>
    <w:rsid w:val="7BB67714"/>
    <w:rsid w:val="7BB8348D"/>
    <w:rsid w:val="7BBA5457"/>
    <w:rsid w:val="7BBC11CF"/>
    <w:rsid w:val="7BBC2F7D"/>
    <w:rsid w:val="7BBD6CF5"/>
    <w:rsid w:val="7BBF3F84"/>
    <w:rsid w:val="7BBF481B"/>
    <w:rsid w:val="7BC40083"/>
    <w:rsid w:val="7BC57958"/>
    <w:rsid w:val="7BC97448"/>
    <w:rsid w:val="7BCA420F"/>
    <w:rsid w:val="7BCC6F38"/>
    <w:rsid w:val="7BCD518A"/>
    <w:rsid w:val="7BCD6588"/>
    <w:rsid w:val="7BCE0F02"/>
    <w:rsid w:val="7BD04C7A"/>
    <w:rsid w:val="7BD059A3"/>
    <w:rsid w:val="7BD10C54"/>
    <w:rsid w:val="7BD1454E"/>
    <w:rsid w:val="7BD27829"/>
    <w:rsid w:val="7BD32074"/>
    <w:rsid w:val="7BD4388A"/>
    <w:rsid w:val="7BDA1655"/>
    <w:rsid w:val="7BDB201C"/>
    <w:rsid w:val="7BDC53CD"/>
    <w:rsid w:val="7BDC6505"/>
    <w:rsid w:val="7BDD1603"/>
    <w:rsid w:val="7BDF4EBD"/>
    <w:rsid w:val="7BDF6C6B"/>
    <w:rsid w:val="7BE10C35"/>
    <w:rsid w:val="7BE129E3"/>
    <w:rsid w:val="7BE14791"/>
    <w:rsid w:val="7BE20509"/>
    <w:rsid w:val="7BE40725"/>
    <w:rsid w:val="7BE6712F"/>
    <w:rsid w:val="7BEB1AB4"/>
    <w:rsid w:val="7BEC1388"/>
    <w:rsid w:val="7BEC3136"/>
    <w:rsid w:val="7BED0E39"/>
    <w:rsid w:val="7BEF6D51"/>
    <w:rsid w:val="7BF02C26"/>
    <w:rsid w:val="7BF14242"/>
    <w:rsid w:val="7BF256D2"/>
    <w:rsid w:val="7BF30969"/>
    <w:rsid w:val="7BF430F1"/>
    <w:rsid w:val="7BF5023D"/>
    <w:rsid w:val="7BF5648F"/>
    <w:rsid w:val="7BFA287F"/>
    <w:rsid w:val="7BFA5853"/>
    <w:rsid w:val="7BFA5D31"/>
    <w:rsid w:val="7BFB5E4A"/>
    <w:rsid w:val="7BFC15CB"/>
    <w:rsid w:val="7BFE17E7"/>
    <w:rsid w:val="7C044924"/>
    <w:rsid w:val="7C0641F8"/>
    <w:rsid w:val="7C0A5A1F"/>
    <w:rsid w:val="7C0D1A2A"/>
    <w:rsid w:val="7C0D37D8"/>
    <w:rsid w:val="7C0E57A2"/>
    <w:rsid w:val="7C1032C9"/>
    <w:rsid w:val="7C134B67"/>
    <w:rsid w:val="7C156B31"/>
    <w:rsid w:val="7C18217D"/>
    <w:rsid w:val="7C183F2B"/>
    <w:rsid w:val="7C1A5EF5"/>
    <w:rsid w:val="7C1B3BD2"/>
    <w:rsid w:val="7C1C478C"/>
    <w:rsid w:val="7C200750"/>
    <w:rsid w:val="7C217284"/>
    <w:rsid w:val="7C23124E"/>
    <w:rsid w:val="7C29438A"/>
    <w:rsid w:val="7C2A25DC"/>
    <w:rsid w:val="7C2B0102"/>
    <w:rsid w:val="7C2B6FA4"/>
    <w:rsid w:val="7C2D3E7B"/>
    <w:rsid w:val="7C2D5C29"/>
    <w:rsid w:val="7C2D79D7"/>
    <w:rsid w:val="7C2E19A1"/>
    <w:rsid w:val="7C300245"/>
    <w:rsid w:val="7C3614E6"/>
    <w:rsid w:val="7C370855"/>
    <w:rsid w:val="7C372603"/>
    <w:rsid w:val="7C396CCF"/>
    <w:rsid w:val="7C3A6597"/>
    <w:rsid w:val="7C3E1BE4"/>
    <w:rsid w:val="7C3E7E36"/>
    <w:rsid w:val="7C423C8F"/>
    <w:rsid w:val="7C440773"/>
    <w:rsid w:val="7C442F72"/>
    <w:rsid w:val="7C457B4B"/>
    <w:rsid w:val="7C460A98"/>
    <w:rsid w:val="7C464F3C"/>
    <w:rsid w:val="7C466CEA"/>
    <w:rsid w:val="7C484810"/>
    <w:rsid w:val="7C4A4A2C"/>
    <w:rsid w:val="7C4A5D78"/>
    <w:rsid w:val="7C4B2553"/>
    <w:rsid w:val="7C4B60AF"/>
    <w:rsid w:val="7C4E5B9F"/>
    <w:rsid w:val="7C507B69"/>
    <w:rsid w:val="7C552434"/>
    <w:rsid w:val="7C574A54"/>
    <w:rsid w:val="7C5B09E8"/>
    <w:rsid w:val="7C5E05B6"/>
    <w:rsid w:val="7C5F1B5A"/>
    <w:rsid w:val="7C5F32C3"/>
    <w:rsid w:val="7C603012"/>
    <w:rsid w:val="7C613B24"/>
    <w:rsid w:val="7C670314"/>
    <w:rsid w:val="7C67749B"/>
    <w:rsid w:val="7C684872"/>
    <w:rsid w:val="7C6B6C23"/>
    <w:rsid w:val="7C6D4186"/>
    <w:rsid w:val="7C6F6241"/>
    <w:rsid w:val="7C72188D"/>
    <w:rsid w:val="7C722152"/>
    <w:rsid w:val="7C725D31"/>
    <w:rsid w:val="7C743857"/>
    <w:rsid w:val="7C75137E"/>
    <w:rsid w:val="7C766979"/>
    <w:rsid w:val="7C790E6E"/>
    <w:rsid w:val="7C792C1C"/>
    <w:rsid w:val="7C7970C0"/>
    <w:rsid w:val="7C7A4BE6"/>
    <w:rsid w:val="7C7C0249"/>
    <w:rsid w:val="7C7C095E"/>
    <w:rsid w:val="7C7E6484"/>
    <w:rsid w:val="7C7F141A"/>
    <w:rsid w:val="7C815F74"/>
    <w:rsid w:val="7C835ED8"/>
    <w:rsid w:val="7C855A65"/>
    <w:rsid w:val="7C857813"/>
    <w:rsid w:val="7C8617DD"/>
    <w:rsid w:val="7C86358B"/>
    <w:rsid w:val="7C8810B1"/>
    <w:rsid w:val="7C896BD7"/>
    <w:rsid w:val="7C8C4D0F"/>
    <w:rsid w:val="7C8D4BFF"/>
    <w:rsid w:val="7C8D66C7"/>
    <w:rsid w:val="7C8F4DBF"/>
    <w:rsid w:val="7C9537CE"/>
    <w:rsid w:val="7C961A20"/>
    <w:rsid w:val="7C975798"/>
    <w:rsid w:val="7C977546"/>
    <w:rsid w:val="7C9A0DE4"/>
    <w:rsid w:val="7C9B7036"/>
    <w:rsid w:val="7C9F3768"/>
    <w:rsid w:val="7CA12173"/>
    <w:rsid w:val="7CA26617"/>
    <w:rsid w:val="7CA3413D"/>
    <w:rsid w:val="7CA659DB"/>
    <w:rsid w:val="7CA7060B"/>
    <w:rsid w:val="7CA81753"/>
    <w:rsid w:val="7CAB4D9F"/>
    <w:rsid w:val="7CAF663E"/>
    <w:rsid w:val="7CB44308"/>
    <w:rsid w:val="7CB65C1E"/>
    <w:rsid w:val="7CB71996"/>
    <w:rsid w:val="7CB77BE8"/>
    <w:rsid w:val="7CBB1486"/>
    <w:rsid w:val="7CBC7047"/>
    <w:rsid w:val="7CBD2C36"/>
    <w:rsid w:val="7CBE2D25"/>
    <w:rsid w:val="7CC0084B"/>
    <w:rsid w:val="7CC0265F"/>
    <w:rsid w:val="7CC12815"/>
    <w:rsid w:val="7CC55E61"/>
    <w:rsid w:val="7CC876FF"/>
    <w:rsid w:val="7CCA1B4A"/>
    <w:rsid w:val="7CCC42E8"/>
    <w:rsid w:val="7CCD2F68"/>
    <w:rsid w:val="7CCD4D16"/>
    <w:rsid w:val="7CD07583"/>
    <w:rsid w:val="7CD10CAA"/>
    <w:rsid w:val="7CD12A58"/>
    <w:rsid w:val="7CD2057E"/>
    <w:rsid w:val="7CD42548"/>
    <w:rsid w:val="7CD460A4"/>
    <w:rsid w:val="7CD95DB0"/>
    <w:rsid w:val="7CDB7267"/>
    <w:rsid w:val="7CDE5175"/>
    <w:rsid w:val="7CDE6F23"/>
    <w:rsid w:val="7CE07AA9"/>
    <w:rsid w:val="7CE16A13"/>
    <w:rsid w:val="7CE4244F"/>
    <w:rsid w:val="7CEB418B"/>
    <w:rsid w:val="7CEC1640"/>
    <w:rsid w:val="7CEC7892"/>
    <w:rsid w:val="7CEE2B0C"/>
    <w:rsid w:val="7CF1204D"/>
    <w:rsid w:val="7CF35D61"/>
    <w:rsid w:val="7CF44998"/>
    <w:rsid w:val="7CF60710"/>
    <w:rsid w:val="7CF77FE5"/>
    <w:rsid w:val="7CF95B0B"/>
    <w:rsid w:val="7CFA6C69"/>
    <w:rsid w:val="7CFC5110"/>
    <w:rsid w:val="7CFD384D"/>
    <w:rsid w:val="7D00333D"/>
    <w:rsid w:val="7D0270B5"/>
    <w:rsid w:val="7D0338A2"/>
    <w:rsid w:val="7D034BDB"/>
    <w:rsid w:val="7D044D32"/>
    <w:rsid w:val="7D056BA5"/>
    <w:rsid w:val="7D07647A"/>
    <w:rsid w:val="7D096956"/>
    <w:rsid w:val="7D0A41BC"/>
    <w:rsid w:val="7D0A5F6A"/>
    <w:rsid w:val="7D0C1CE2"/>
    <w:rsid w:val="7D0C3A90"/>
    <w:rsid w:val="7D0C7F34"/>
    <w:rsid w:val="7D0E0AB3"/>
    <w:rsid w:val="7D0F3580"/>
    <w:rsid w:val="7D11554A"/>
    <w:rsid w:val="7D1172F8"/>
    <w:rsid w:val="7D1312C2"/>
    <w:rsid w:val="7D136216"/>
    <w:rsid w:val="7D140B97"/>
    <w:rsid w:val="7D142945"/>
    <w:rsid w:val="7D162B61"/>
    <w:rsid w:val="7D1666BD"/>
    <w:rsid w:val="7D172435"/>
    <w:rsid w:val="7D192609"/>
    <w:rsid w:val="7D1961AD"/>
    <w:rsid w:val="7D197F5B"/>
    <w:rsid w:val="7D1B1B29"/>
    <w:rsid w:val="7D1B1F25"/>
    <w:rsid w:val="7D1B3B82"/>
    <w:rsid w:val="7D1D701A"/>
    <w:rsid w:val="7D1E1A15"/>
    <w:rsid w:val="7D1E1A79"/>
    <w:rsid w:val="7D1E37C3"/>
    <w:rsid w:val="7D1F7C67"/>
    <w:rsid w:val="7D2012E9"/>
    <w:rsid w:val="7D23702C"/>
    <w:rsid w:val="7D250FF6"/>
    <w:rsid w:val="7D276B1C"/>
    <w:rsid w:val="7D292894"/>
    <w:rsid w:val="7D2A03BA"/>
    <w:rsid w:val="7D2B70C2"/>
    <w:rsid w:val="7D2F3C22"/>
    <w:rsid w:val="7D3134F6"/>
    <w:rsid w:val="7D3354C1"/>
    <w:rsid w:val="7D360B0D"/>
    <w:rsid w:val="7D366D5F"/>
    <w:rsid w:val="7D376633"/>
    <w:rsid w:val="7D380D29"/>
    <w:rsid w:val="7D382AD7"/>
    <w:rsid w:val="7D39684F"/>
    <w:rsid w:val="7D3A315F"/>
    <w:rsid w:val="7D3B4375"/>
    <w:rsid w:val="7D3B6123"/>
    <w:rsid w:val="7D3D00ED"/>
    <w:rsid w:val="7D3D1E9B"/>
    <w:rsid w:val="7D3E3E65"/>
    <w:rsid w:val="7D3E6353"/>
    <w:rsid w:val="7D425704"/>
    <w:rsid w:val="7D43322A"/>
    <w:rsid w:val="7D4476CE"/>
    <w:rsid w:val="7D454D96"/>
    <w:rsid w:val="7D494CE4"/>
    <w:rsid w:val="7D4A6A89"/>
    <w:rsid w:val="7D4E22FA"/>
    <w:rsid w:val="7D4F1BCF"/>
    <w:rsid w:val="7D4F7E21"/>
    <w:rsid w:val="7D500768"/>
    <w:rsid w:val="7D50182E"/>
    <w:rsid w:val="7D505C2F"/>
    <w:rsid w:val="7D575A6A"/>
    <w:rsid w:val="7D580A83"/>
    <w:rsid w:val="7D5D078F"/>
    <w:rsid w:val="7D5E0064"/>
    <w:rsid w:val="7D60202E"/>
    <w:rsid w:val="7D603DDC"/>
    <w:rsid w:val="7D641B1E"/>
    <w:rsid w:val="7D67516A"/>
    <w:rsid w:val="7D6C452F"/>
    <w:rsid w:val="7D6D017E"/>
    <w:rsid w:val="7D6E64F9"/>
    <w:rsid w:val="7D6F2271"/>
    <w:rsid w:val="7D6F401F"/>
    <w:rsid w:val="7D715FE9"/>
    <w:rsid w:val="7D7358BD"/>
    <w:rsid w:val="7D741635"/>
    <w:rsid w:val="7D747887"/>
    <w:rsid w:val="7D787377"/>
    <w:rsid w:val="7D7C1D48"/>
    <w:rsid w:val="7D7D2BE0"/>
    <w:rsid w:val="7D80622C"/>
    <w:rsid w:val="7D821FA4"/>
    <w:rsid w:val="7D823D52"/>
    <w:rsid w:val="7D831878"/>
    <w:rsid w:val="7D8335F7"/>
    <w:rsid w:val="7D845D1C"/>
    <w:rsid w:val="7D850AE8"/>
    <w:rsid w:val="7D853842"/>
    <w:rsid w:val="7D871368"/>
    <w:rsid w:val="7D87580C"/>
    <w:rsid w:val="7D8775BA"/>
    <w:rsid w:val="7D8950E1"/>
    <w:rsid w:val="7D8B70AB"/>
    <w:rsid w:val="7D8C4BD1"/>
    <w:rsid w:val="7D8D09BB"/>
    <w:rsid w:val="7D8E0949"/>
    <w:rsid w:val="7D8E0CD4"/>
    <w:rsid w:val="7D8E5E30"/>
    <w:rsid w:val="7D913F95"/>
    <w:rsid w:val="7D9341B1"/>
    <w:rsid w:val="7D965A4F"/>
    <w:rsid w:val="7D97460B"/>
    <w:rsid w:val="7D982B95"/>
    <w:rsid w:val="7D983576"/>
    <w:rsid w:val="7D9F66B2"/>
    <w:rsid w:val="7DA0067C"/>
    <w:rsid w:val="7DA0129B"/>
    <w:rsid w:val="7DA0242A"/>
    <w:rsid w:val="7DA37E53"/>
    <w:rsid w:val="7DA8331F"/>
    <w:rsid w:val="7DAC0DCF"/>
    <w:rsid w:val="7DAC7021"/>
    <w:rsid w:val="7DB163E5"/>
    <w:rsid w:val="7DB36601"/>
    <w:rsid w:val="7DB44FF6"/>
    <w:rsid w:val="7DB55ED6"/>
    <w:rsid w:val="7DB639FC"/>
    <w:rsid w:val="7DB83C18"/>
    <w:rsid w:val="7DBA34EC"/>
    <w:rsid w:val="7DBB1AC4"/>
    <w:rsid w:val="7DBD4D8A"/>
    <w:rsid w:val="7DBE0C79"/>
    <w:rsid w:val="7DC10D1E"/>
    <w:rsid w:val="7DC22078"/>
    <w:rsid w:val="7DC425BD"/>
    <w:rsid w:val="7DC91981"/>
    <w:rsid w:val="7DC974CD"/>
    <w:rsid w:val="7DCD75AF"/>
    <w:rsid w:val="7DCE6F97"/>
    <w:rsid w:val="7DCF4ABD"/>
    <w:rsid w:val="7DD10836"/>
    <w:rsid w:val="7DD56578"/>
    <w:rsid w:val="7DD83D97"/>
    <w:rsid w:val="7DDB3462"/>
    <w:rsid w:val="7DDC28F6"/>
    <w:rsid w:val="7DDE4EC6"/>
    <w:rsid w:val="7DE04732"/>
    <w:rsid w:val="7DE06CCB"/>
    <w:rsid w:val="7DE20C95"/>
    <w:rsid w:val="7DE22A43"/>
    <w:rsid w:val="7DE47BFE"/>
    <w:rsid w:val="7DE71E07"/>
    <w:rsid w:val="7DED6E33"/>
    <w:rsid w:val="7DEE7639"/>
    <w:rsid w:val="7DEF11E8"/>
    <w:rsid w:val="7DF033B2"/>
    <w:rsid w:val="7DF36428"/>
    <w:rsid w:val="7DF406F2"/>
    <w:rsid w:val="7DF610A9"/>
    <w:rsid w:val="7DF764EE"/>
    <w:rsid w:val="7DF82266"/>
    <w:rsid w:val="7DF86B91"/>
    <w:rsid w:val="7DFA5FDE"/>
    <w:rsid w:val="7DFA70C4"/>
    <w:rsid w:val="7DFB4BB9"/>
    <w:rsid w:val="7DFC1D56"/>
    <w:rsid w:val="7DFC3B04"/>
    <w:rsid w:val="7DFE04F1"/>
    <w:rsid w:val="7DFF1847"/>
    <w:rsid w:val="7DFF2503"/>
    <w:rsid w:val="7DFF35F5"/>
    <w:rsid w:val="7DFF53A3"/>
    <w:rsid w:val="7E01111B"/>
    <w:rsid w:val="7E024A8C"/>
    <w:rsid w:val="7E052486"/>
    <w:rsid w:val="7E064983"/>
    <w:rsid w:val="7E094473"/>
    <w:rsid w:val="7E0C7A4E"/>
    <w:rsid w:val="7E100520"/>
    <w:rsid w:val="7E10135E"/>
    <w:rsid w:val="7E1075B0"/>
    <w:rsid w:val="7E123328"/>
    <w:rsid w:val="7E132BFC"/>
    <w:rsid w:val="7E1352F2"/>
    <w:rsid w:val="7E1365B7"/>
    <w:rsid w:val="7E152E18"/>
    <w:rsid w:val="7E152F02"/>
    <w:rsid w:val="7E192908"/>
    <w:rsid w:val="7E1A3F8B"/>
    <w:rsid w:val="7E1B6D74"/>
    <w:rsid w:val="7E1C7D03"/>
    <w:rsid w:val="7E2412AD"/>
    <w:rsid w:val="7E24305B"/>
    <w:rsid w:val="7E244E09"/>
    <w:rsid w:val="7E260B81"/>
    <w:rsid w:val="7E281378"/>
    <w:rsid w:val="7E2968C4"/>
    <w:rsid w:val="7E2C3CBE"/>
    <w:rsid w:val="7E2D569D"/>
    <w:rsid w:val="7E2E2619"/>
    <w:rsid w:val="7E3314F0"/>
    <w:rsid w:val="7E33504C"/>
    <w:rsid w:val="7E34648B"/>
    <w:rsid w:val="7E355268"/>
    <w:rsid w:val="7E372D8F"/>
    <w:rsid w:val="7E386B07"/>
    <w:rsid w:val="7E3A462D"/>
    <w:rsid w:val="7E3C65F7"/>
    <w:rsid w:val="7E3E411D"/>
    <w:rsid w:val="7E3E7C97"/>
    <w:rsid w:val="7E3F712D"/>
    <w:rsid w:val="7E3F7E95"/>
    <w:rsid w:val="7E4159BB"/>
    <w:rsid w:val="7E417769"/>
    <w:rsid w:val="7E421F1F"/>
    <w:rsid w:val="7E4436FD"/>
    <w:rsid w:val="7E4454AB"/>
    <w:rsid w:val="7E494548"/>
    <w:rsid w:val="7E4B4A8C"/>
    <w:rsid w:val="7E4C5BA2"/>
    <w:rsid w:val="7E4E602F"/>
    <w:rsid w:val="7E503BFB"/>
    <w:rsid w:val="7E517AF9"/>
    <w:rsid w:val="7E521976"/>
    <w:rsid w:val="7E532EA4"/>
    <w:rsid w:val="7E553215"/>
    <w:rsid w:val="7E573431"/>
    <w:rsid w:val="7E576F8D"/>
    <w:rsid w:val="7E582D05"/>
    <w:rsid w:val="7E584AB3"/>
    <w:rsid w:val="7E5C0A47"/>
    <w:rsid w:val="7E5D031B"/>
    <w:rsid w:val="7E5E47BF"/>
    <w:rsid w:val="7E5E6743"/>
    <w:rsid w:val="7E5E733A"/>
    <w:rsid w:val="7E5F4018"/>
    <w:rsid w:val="7E611BB9"/>
    <w:rsid w:val="7E617E0B"/>
    <w:rsid w:val="7E6478FC"/>
    <w:rsid w:val="7E663674"/>
    <w:rsid w:val="7E68119A"/>
    <w:rsid w:val="7E6A655A"/>
    <w:rsid w:val="7E6B2A38"/>
    <w:rsid w:val="7E6B6EDC"/>
    <w:rsid w:val="7E6D4A02"/>
    <w:rsid w:val="7E6E636B"/>
    <w:rsid w:val="7E6F077A"/>
    <w:rsid w:val="7E70004F"/>
    <w:rsid w:val="7E745D91"/>
    <w:rsid w:val="7E7538B7"/>
    <w:rsid w:val="7E760E0F"/>
    <w:rsid w:val="7E784D07"/>
    <w:rsid w:val="7E7A0ECD"/>
    <w:rsid w:val="7E7A711F"/>
    <w:rsid w:val="7E7C227A"/>
    <w:rsid w:val="7E7C7258"/>
    <w:rsid w:val="7E7F0292"/>
    <w:rsid w:val="7E7F0A31"/>
    <w:rsid w:val="7E802674"/>
    <w:rsid w:val="7E8448A3"/>
    <w:rsid w:val="7E851D4C"/>
    <w:rsid w:val="7E891110"/>
    <w:rsid w:val="7E8B30DA"/>
    <w:rsid w:val="7E8B4E88"/>
    <w:rsid w:val="7E8B6FD4"/>
    <w:rsid w:val="7E8C3035"/>
    <w:rsid w:val="7E8D29AE"/>
    <w:rsid w:val="7E921135"/>
    <w:rsid w:val="7E927FC5"/>
    <w:rsid w:val="7E933D3D"/>
    <w:rsid w:val="7E957AB5"/>
    <w:rsid w:val="7E9957F7"/>
    <w:rsid w:val="7E997407"/>
    <w:rsid w:val="7E9975A5"/>
    <w:rsid w:val="7E9B205F"/>
    <w:rsid w:val="7E9C52E7"/>
    <w:rsid w:val="7E9F26E2"/>
    <w:rsid w:val="7EA146AC"/>
    <w:rsid w:val="7EA45F4A"/>
    <w:rsid w:val="7EA67F14"/>
    <w:rsid w:val="7EA85A3A"/>
    <w:rsid w:val="7EAA512E"/>
    <w:rsid w:val="7EAB72D9"/>
    <w:rsid w:val="7EAD12A3"/>
    <w:rsid w:val="7EAE25EB"/>
    <w:rsid w:val="7EAE4BA1"/>
    <w:rsid w:val="7EB02B41"/>
    <w:rsid w:val="7EB044B9"/>
    <w:rsid w:val="7EB20667"/>
    <w:rsid w:val="7EB22415"/>
    <w:rsid w:val="7EB42631"/>
    <w:rsid w:val="7EB51F05"/>
    <w:rsid w:val="7EB663A9"/>
    <w:rsid w:val="7EB838C2"/>
    <w:rsid w:val="7EB96DEB"/>
    <w:rsid w:val="7EBB4972"/>
    <w:rsid w:val="7EBC14E6"/>
    <w:rsid w:val="7EBC7738"/>
    <w:rsid w:val="7EBE525E"/>
    <w:rsid w:val="7EBE700C"/>
    <w:rsid w:val="7EC00FD6"/>
    <w:rsid w:val="7EC108AA"/>
    <w:rsid w:val="7EC14D4E"/>
    <w:rsid w:val="7EC3792E"/>
    <w:rsid w:val="7EC62364"/>
    <w:rsid w:val="7EC65650"/>
    <w:rsid w:val="7EC65EC0"/>
    <w:rsid w:val="7EC9775F"/>
    <w:rsid w:val="7ECA0929"/>
    <w:rsid w:val="7ECB3710"/>
    <w:rsid w:val="7ECC6D87"/>
    <w:rsid w:val="7ECF746B"/>
    <w:rsid w:val="7ED24865"/>
    <w:rsid w:val="7ED93E46"/>
    <w:rsid w:val="7EDB04AB"/>
    <w:rsid w:val="7EDC1B88"/>
    <w:rsid w:val="7EE03426"/>
    <w:rsid w:val="7EE12CFA"/>
    <w:rsid w:val="7EE50A3C"/>
    <w:rsid w:val="7EE822DB"/>
    <w:rsid w:val="7EEA1BAF"/>
    <w:rsid w:val="7EEA6053"/>
    <w:rsid w:val="7EED45E6"/>
    <w:rsid w:val="7EF14C2E"/>
    <w:rsid w:val="7EF173E1"/>
    <w:rsid w:val="7EF24F07"/>
    <w:rsid w:val="7EF55F93"/>
    <w:rsid w:val="7EF742CC"/>
    <w:rsid w:val="7EF944E8"/>
    <w:rsid w:val="7EF96296"/>
    <w:rsid w:val="7EFE38AC"/>
    <w:rsid w:val="7EFE565A"/>
    <w:rsid w:val="7EFF77F6"/>
    <w:rsid w:val="7F0013D2"/>
    <w:rsid w:val="7F031A27"/>
    <w:rsid w:val="7F052E8D"/>
    <w:rsid w:val="7F072F79"/>
    <w:rsid w:val="7F0864D9"/>
    <w:rsid w:val="7F0945F7"/>
    <w:rsid w:val="7F0A04A3"/>
    <w:rsid w:val="7F0A3FFF"/>
    <w:rsid w:val="7F0D21BA"/>
    <w:rsid w:val="7F0F428D"/>
    <w:rsid w:val="7F1107D4"/>
    <w:rsid w:val="7F111831"/>
    <w:rsid w:val="7F136744"/>
    <w:rsid w:val="7F166E48"/>
    <w:rsid w:val="7F17671C"/>
    <w:rsid w:val="7F182BC0"/>
    <w:rsid w:val="7F1B0294"/>
    <w:rsid w:val="7F1B26B0"/>
    <w:rsid w:val="7F1C4477"/>
    <w:rsid w:val="7F1F5F03"/>
    <w:rsid w:val="7F207CC7"/>
    <w:rsid w:val="7F21759B"/>
    <w:rsid w:val="7F233313"/>
    <w:rsid w:val="7F243BE2"/>
    <w:rsid w:val="7F250E39"/>
    <w:rsid w:val="7F2552DD"/>
    <w:rsid w:val="7F25708B"/>
    <w:rsid w:val="7F2619A9"/>
    <w:rsid w:val="7F29028D"/>
    <w:rsid w:val="7F2A46A1"/>
    <w:rsid w:val="7F315A30"/>
    <w:rsid w:val="7F323556"/>
    <w:rsid w:val="7F343772"/>
    <w:rsid w:val="7F345520"/>
    <w:rsid w:val="7F3472CE"/>
    <w:rsid w:val="7F376DBE"/>
    <w:rsid w:val="7F3B240A"/>
    <w:rsid w:val="7F3C6183"/>
    <w:rsid w:val="7F3D1BB8"/>
    <w:rsid w:val="7F3E014D"/>
    <w:rsid w:val="7F3E1EFB"/>
    <w:rsid w:val="7F3E5C19"/>
    <w:rsid w:val="7F402117"/>
    <w:rsid w:val="7F427C3D"/>
    <w:rsid w:val="7F430306"/>
    <w:rsid w:val="7F435763"/>
    <w:rsid w:val="7F4514DB"/>
    <w:rsid w:val="7F464EEE"/>
    <w:rsid w:val="7F477001"/>
    <w:rsid w:val="7F480FCB"/>
    <w:rsid w:val="7F4D213E"/>
    <w:rsid w:val="7F4F4108"/>
    <w:rsid w:val="7F4F5EB6"/>
    <w:rsid w:val="7F5259A6"/>
    <w:rsid w:val="7F531E4A"/>
    <w:rsid w:val="7F55690C"/>
    <w:rsid w:val="7F5636E8"/>
    <w:rsid w:val="7F565496"/>
    <w:rsid w:val="7F567244"/>
    <w:rsid w:val="7F587460"/>
    <w:rsid w:val="7F596D35"/>
    <w:rsid w:val="7F5B0CFF"/>
    <w:rsid w:val="7F5F07EF"/>
    <w:rsid w:val="7F6000C3"/>
    <w:rsid w:val="7F6026F4"/>
    <w:rsid w:val="7F623E3B"/>
    <w:rsid w:val="7F645E05"/>
    <w:rsid w:val="7F6616B7"/>
    <w:rsid w:val="7F671451"/>
    <w:rsid w:val="7F6851CA"/>
    <w:rsid w:val="7F687E94"/>
    <w:rsid w:val="7F6A2CF0"/>
    <w:rsid w:val="7F71407E"/>
    <w:rsid w:val="7F7166CB"/>
    <w:rsid w:val="7F736048"/>
    <w:rsid w:val="7F737DF6"/>
    <w:rsid w:val="7F74752A"/>
    <w:rsid w:val="7F787239"/>
    <w:rsid w:val="7F7D0C75"/>
    <w:rsid w:val="7F7D2A23"/>
    <w:rsid w:val="7F7D4471"/>
    <w:rsid w:val="7F800765"/>
    <w:rsid w:val="7F8059CD"/>
    <w:rsid w:val="7F820039"/>
    <w:rsid w:val="7F842003"/>
    <w:rsid w:val="7F875650"/>
    <w:rsid w:val="7F8D1710"/>
    <w:rsid w:val="7F8F2756"/>
    <w:rsid w:val="7F8F6BFA"/>
    <w:rsid w:val="7F912972"/>
    <w:rsid w:val="7F914720"/>
    <w:rsid w:val="7F9452D1"/>
    <w:rsid w:val="7F947D6D"/>
    <w:rsid w:val="7F954211"/>
    <w:rsid w:val="7F963AE5"/>
    <w:rsid w:val="7F967F89"/>
    <w:rsid w:val="7F9727B3"/>
    <w:rsid w:val="7F9935D5"/>
    <w:rsid w:val="7F9B10FB"/>
    <w:rsid w:val="7F9D1317"/>
    <w:rsid w:val="7F9D30C5"/>
    <w:rsid w:val="7F9F6E3D"/>
    <w:rsid w:val="7FA02BB5"/>
    <w:rsid w:val="7FA2248A"/>
    <w:rsid w:val="7FA278D5"/>
    <w:rsid w:val="7FA426A6"/>
    <w:rsid w:val="7FA44454"/>
    <w:rsid w:val="7FA5097B"/>
    <w:rsid w:val="7FA63521"/>
    <w:rsid w:val="7FA93818"/>
    <w:rsid w:val="7FAA57E2"/>
    <w:rsid w:val="7FAA7590"/>
    <w:rsid w:val="7FAB699F"/>
    <w:rsid w:val="7FAC3308"/>
    <w:rsid w:val="7FB34697"/>
    <w:rsid w:val="7FB4040F"/>
    <w:rsid w:val="7FB56661"/>
    <w:rsid w:val="7FB623D9"/>
    <w:rsid w:val="7FB65F35"/>
    <w:rsid w:val="7FB777D7"/>
    <w:rsid w:val="7FBA3C77"/>
    <w:rsid w:val="7FBA5A25"/>
    <w:rsid w:val="7FBB23CA"/>
    <w:rsid w:val="7FBF4126"/>
    <w:rsid w:val="7FC20D7E"/>
    <w:rsid w:val="7FC22B2C"/>
    <w:rsid w:val="7FC40652"/>
    <w:rsid w:val="7FC41B9B"/>
    <w:rsid w:val="7FC70142"/>
    <w:rsid w:val="7FC76394"/>
    <w:rsid w:val="7FC8567D"/>
    <w:rsid w:val="7FC91006"/>
    <w:rsid w:val="7FCC5758"/>
    <w:rsid w:val="7FCC7507"/>
    <w:rsid w:val="7FCE14D1"/>
    <w:rsid w:val="7FD05249"/>
    <w:rsid w:val="7FD14B1D"/>
    <w:rsid w:val="7FD42D0C"/>
    <w:rsid w:val="7FD50AB1"/>
    <w:rsid w:val="7FD82F57"/>
    <w:rsid w:val="7FD840FD"/>
    <w:rsid w:val="7FDD5BB8"/>
    <w:rsid w:val="7FDF36DE"/>
    <w:rsid w:val="7FE24F7C"/>
    <w:rsid w:val="7FE3437B"/>
    <w:rsid w:val="7FE5681A"/>
    <w:rsid w:val="7FE56D6D"/>
    <w:rsid w:val="7FE84988"/>
    <w:rsid w:val="7FE9455C"/>
    <w:rsid w:val="7FEA5BDF"/>
    <w:rsid w:val="7FEC35BC"/>
    <w:rsid w:val="7FED3970"/>
    <w:rsid w:val="7FF01447"/>
    <w:rsid w:val="7FF12162"/>
    <w:rsid w:val="7FF30F37"/>
    <w:rsid w:val="7FF336DB"/>
    <w:rsid w:val="7FF54CAF"/>
    <w:rsid w:val="7FF56A5D"/>
    <w:rsid w:val="7FFA5204"/>
    <w:rsid w:val="7FFB1A22"/>
    <w:rsid w:val="7FFC23FC"/>
    <w:rsid w:val="7FFC4290"/>
    <w:rsid w:val="7FFF5B2E"/>
    <w:rsid w:val="7FFF6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8"/>
    <w:autoRedefine/>
    <w:unhideWhenUsed/>
    <w:qFormat/>
    <w:uiPriority w:val="9"/>
    <w:pPr>
      <w:keepNext/>
      <w:keepLines/>
      <w:spacing w:before="260" w:after="260" w:line="416" w:lineRule="auto"/>
      <w:outlineLvl w:val="2"/>
    </w:pPr>
    <w:rPr>
      <w:b/>
      <w:bCs/>
      <w:kern w:val="0"/>
      <w:sz w:val="32"/>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snapToGrid w:val="0"/>
      <w:spacing w:line="360" w:lineRule="auto"/>
      <w:ind w:firstLine="567" w:firstLineChars="200"/>
    </w:pPr>
    <w:rPr>
      <w:rFonts w:ascii="宋体" w:hAnsi="宋体" w:eastAsia="仿宋"/>
      <w:sz w:val="28"/>
    </w:rPr>
  </w:style>
  <w:style w:type="paragraph" w:styleId="6">
    <w:name w:val="annotation text"/>
    <w:basedOn w:val="1"/>
    <w:link w:val="29"/>
    <w:autoRedefine/>
    <w:unhideWhenUsed/>
    <w:qFormat/>
    <w:uiPriority w:val="99"/>
    <w:pPr>
      <w:jc w:val="left"/>
    </w:pPr>
  </w:style>
  <w:style w:type="paragraph" w:styleId="7">
    <w:name w:val="Body Text"/>
    <w:basedOn w:val="1"/>
    <w:link w:val="141"/>
    <w:autoRedefine/>
    <w:qFormat/>
    <w:uiPriority w:val="99"/>
    <w:pPr>
      <w:spacing w:after="120" w:line="300" w:lineRule="auto"/>
      <w:ind w:firstLine="200" w:firstLineChars="200"/>
    </w:pPr>
    <w:rPr>
      <w:rFonts w:ascii="Calibri" w:hAnsi="Calibri" w:eastAsia="宋体" w:cs="Times New Roman"/>
      <w:sz w:val="24"/>
      <w:szCs w:val="24"/>
    </w:rPr>
  </w:style>
  <w:style w:type="paragraph" w:styleId="8">
    <w:name w:val="Body Text Indent"/>
    <w:basedOn w:val="1"/>
    <w:next w:val="9"/>
    <w:autoRedefine/>
    <w:unhideWhenUsed/>
    <w:qFormat/>
    <w:uiPriority w:val="0"/>
    <w:pPr>
      <w:spacing w:after="120"/>
      <w:ind w:left="420" w:leftChars="200"/>
    </w:pPr>
  </w:style>
  <w:style w:type="paragraph" w:customStyle="1" w:styleId="9">
    <w:name w:val="样式 正文文本缩进 + 行距: 1.5 倍行距"/>
    <w:basedOn w:val="8"/>
    <w:autoRedefine/>
    <w:qFormat/>
    <w:uiPriority w:val="0"/>
    <w:pPr>
      <w:ind w:left="90" w:leftChars="32" w:firstLine="560"/>
    </w:pPr>
    <w:rPr>
      <w:rFonts w:cs="宋体"/>
    </w:rPr>
  </w:style>
  <w:style w:type="paragraph" w:styleId="10">
    <w:name w:val="toc 3"/>
    <w:basedOn w:val="1"/>
    <w:next w:val="1"/>
    <w:autoRedefine/>
    <w:unhideWhenUsed/>
    <w:qFormat/>
    <w:uiPriority w:val="39"/>
    <w:pPr>
      <w:widowControl/>
      <w:spacing w:after="100" w:line="276" w:lineRule="auto"/>
      <w:ind w:left="440"/>
      <w:jc w:val="left"/>
    </w:pPr>
    <w:rPr>
      <w:kern w:val="0"/>
      <w:sz w:val="22"/>
    </w:rPr>
  </w:style>
  <w:style w:type="paragraph" w:styleId="11">
    <w:name w:val="Date"/>
    <w:basedOn w:val="1"/>
    <w:next w:val="1"/>
    <w:link w:val="31"/>
    <w:autoRedefine/>
    <w:unhideWhenUsed/>
    <w:qFormat/>
    <w:uiPriority w:val="99"/>
    <w:pPr>
      <w:ind w:left="100" w:leftChars="2500"/>
    </w:pPr>
  </w:style>
  <w:style w:type="paragraph" w:styleId="12">
    <w:name w:val="Balloon Text"/>
    <w:basedOn w:val="1"/>
    <w:link w:val="32"/>
    <w:autoRedefine/>
    <w:unhideWhenUsed/>
    <w:qFormat/>
    <w:uiPriority w:val="99"/>
    <w:rPr>
      <w:sz w:val="18"/>
      <w:szCs w:val="18"/>
    </w:rPr>
  </w:style>
  <w:style w:type="paragraph" w:styleId="13">
    <w:name w:val="footer"/>
    <w:basedOn w:val="1"/>
    <w:link w:val="33"/>
    <w:autoRedefine/>
    <w:unhideWhenUsed/>
    <w:qFormat/>
    <w:uiPriority w:val="99"/>
    <w:pPr>
      <w:tabs>
        <w:tab w:val="center" w:pos="4153"/>
        <w:tab w:val="right" w:pos="8306"/>
      </w:tabs>
      <w:snapToGrid w:val="0"/>
      <w:jc w:val="left"/>
    </w:pPr>
    <w:rPr>
      <w:sz w:val="18"/>
      <w:szCs w:val="18"/>
    </w:rPr>
  </w:style>
  <w:style w:type="paragraph" w:styleId="14">
    <w:name w:val="header"/>
    <w:basedOn w:val="1"/>
    <w:link w:val="3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widowControl/>
      <w:spacing w:after="100" w:line="276" w:lineRule="auto"/>
      <w:jc w:val="left"/>
    </w:pPr>
    <w:rPr>
      <w:rFonts w:eastAsia="仿宋"/>
      <w:b/>
      <w:kern w:val="0"/>
      <w:sz w:val="22"/>
    </w:rPr>
  </w:style>
  <w:style w:type="paragraph" w:styleId="16">
    <w:name w:val="toc 2"/>
    <w:basedOn w:val="1"/>
    <w:next w:val="1"/>
    <w:autoRedefine/>
    <w:unhideWhenUsed/>
    <w:qFormat/>
    <w:uiPriority w:val="39"/>
    <w:pPr>
      <w:widowControl/>
      <w:spacing w:after="100" w:line="276" w:lineRule="auto"/>
      <w:ind w:left="220"/>
      <w:jc w:val="left"/>
    </w:pPr>
    <w:rPr>
      <w:rFonts w:eastAsia="仿宋"/>
      <w:kern w:val="0"/>
      <w:sz w:val="22"/>
    </w:rPr>
  </w:style>
  <w:style w:type="paragraph" w:styleId="17">
    <w:name w:val="annotation subject"/>
    <w:basedOn w:val="6"/>
    <w:next w:val="6"/>
    <w:link w:val="30"/>
    <w:autoRedefine/>
    <w:unhideWhenUsed/>
    <w:qFormat/>
    <w:uiPriority w:val="99"/>
    <w:rPr>
      <w:b/>
      <w:bCs/>
    </w:rPr>
  </w:style>
  <w:style w:type="paragraph" w:styleId="18">
    <w:name w:val="Body Text First Indent"/>
    <w:basedOn w:val="1"/>
    <w:next w:val="1"/>
    <w:qFormat/>
    <w:uiPriority w:val="0"/>
    <w:pPr>
      <w:spacing w:line="440" w:lineRule="exact"/>
      <w:ind w:firstLine="493" w:firstLineChars="200"/>
    </w:pPr>
    <w:rPr>
      <w:rFonts w:ascii="宋体" w:hAnsi="Times New Roman" w:eastAsia="宋体" w:cs="Times New Roman"/>
      <w:spacing w:val="10"/>
      <w:kern w:val="24"/>
      <w:sz w:val="24"/>
      <w:szCs w:val="20"/>
    </w:rPr>
  </w:style>
  <w:style w:type="paragraph" w:styleId="19">
    <w:name w:val="Body Text First Indent 2"/>
    <w:basedOn w:val="8"/>
    <w:next w:val="1"/>
    <w:autoRedefine/>
    <w:qFormat/>
    <w:uiPriority w:val="99"/>
    <w:pPr>
      <w:ind w:firstLine="420"/>
    </w:pPr>
  </w:style>
  <w:style w:type="table" w:styleId="21">
    <w:name w:val="Table Grid"/>
    <w:basedOn w:val="2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autoRedefine/>
    <w:qFormat/>
    <w:uiPriority w:val="0"/>
    <w:rPr>
      <w:b/>
    </w:rPr>
  </w:style>
  <w:style w:type="character" w:styleId="24">
    <w:name w:val="FollowedHyperlink"/>
    <w:basedOn w:val="22"/>
    <w:autoRedefine/>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2"/>
    <w:autoRedefine/>
    <w:unhideWhenUsed/>
    <w:qFormat/>
    <w:uiPriority w:val="99"/>
    <w:rPr>
      <w:color w:val="0000FF" w:themeColor="hyperlink"/>
      <w:u w:val="single"/>
      <w14:textFill>
        <w14:solidFill>
          <w14:schemeClr w14:val="hlink"/>
        </w14:solidFill>
      </w14:textFill>
    </w:rPr>
  </w:style>
  <w:style w:type="character" w:styleId="26">
    <w:name w:val="annotation reference"/>
    <w:basedOn w:val="22"/>
    <w:autoRedefine/>
    <w:unhideWhenUsed/>
    <w:qFormat/>
    <w:uiPriority w:val="99"/>
    <w:rPr>
      <w:sz w:val="21"/>
      <w:szCs w:val="21"/>
    </w:rPr>
  </w:style>
  <w:style w:type="character" w:customStyle="1" w:styleId="27">
    <w:name w:val="标题 1 Char"/>
    <w:basedOn w:val="22"/>
    <w:link w:val="2"/>
    <w:autoRedefine/>
    <w:qFormat/>
    <w:uiPriority w:val="9"/>
    <w:rPr>
      <w:b/>
      <w:bCs/>
      <w:kern w:val="44"/>
      <w:sz w:val="44"/>
      <w:szCs w:val="44"/>
    </w:rPr>
  </w:style>
  <w:style w:type="character" w:customStyle="1" w:styleId="28">
    <w:name w:val="标题 2 Char"/>
    <w:basedOn w:val="22"/>
    <w:link w:val="3"/>
    <w:autoRedefine/>
    <w:qFormat/>
    <w:uiPriority w:val="9"/>
    <w:rPr>
      <w:rFonts w:asciiTheme="majorHAnsi" w:hAnsiTheme="majorHAnsi" w:eastAsiaTheme="majorEastAsia" w:cstheme="majorBidi"/>
      <w:b/>
      <w:bCs/>
      <w:kern w:val="2"/>
      <w:sz w:val="32"/>
      <w:szCs w:val="32"/>
    </w:rPr>
  </w:style>
  <w:style w:type="character" w:customStyle="1" w:styleId="29">
    <w:name w:val="批注文字 Char1"/>
    <w:basedOn w:val="22"/>
    <w:link w:val="6"/>
    <w:autoRedefine/>
    <w:qFormat/>
    <w:uiPriority w:val="99"/>
  </w:style>
  <w:style w:type="character" w:customStyle="1" w:styleId="30">
    <w:name w:val="批注主题 Char"/>
    <w:basedOn w:val="29"/>
    <w:link w:val="17"/>
    <w:autoRedefine/>
    <w:qFormat/>
    <w:uiPriority w:val="99"/>
    <w:rPr>
      <w:b/>
      <w:bCs/>
    </w:rPr>
  </w:style>
  <w:style w:type="character" w:customStyle="1" w:styleId="31">
    <w:name w:val="日期 Char"/>
    <w:basedOn w:val="22"/>
    <w:link w:val="11"/>
    <w:autoRedefine/>
    <w:qFormat/>
    <w:uiPriority w:val="99"/>
  </w:style>
  <w:style w:type="character" w:customStyle="1" w:styleId="32">
    <w:name w:val="批注框文本 Char"/>
    <w:basedOn w:val="22"/>
    <w:link w:val="12"/>
    <w:autoRedefine/>
    <w:qFormat/>
    <w:uiPriority w:val="99"/>
    <w:rPr>
      <w:sz w:val="18"/>
      <w:szCs w:val="18"/>
    </w:rPr>
  </w:style>
  <w:style w:type="character" w:customStyle="1" w:styleId="33">
    <w:name w:val="页脚 Char"/>
    <w:basedOn w:val="22"/>
    <w:link w:val="13"/>
    <w:autoRedefine/>
    <w:qFormat/>
    <w:uiPriority w:val="99"/>
    <w:rPr>
      <w:sz w:val="18"/>
      <w:szCs w:val="18"/>
    </w:rPr>
  </w:style>
  <w:style w:type="character" w:customStyle="1" w:styleId="34">
    <w:name w:val="页眉 Char"/>
    <w:basedOn w:val="22"/>
    <w:link w:val="14"/>
    <w:autoRedefine/>
    <w:qFormat/>
    <w:uiPriority w:val="99"/>
    <w:rPr>
      <w:sz w:val="18"/>
      <w:szCs w:val="18"/>
    </w:rPr>
  </w:style>
  <w:style w:type="table" w:customStyle="1" w:styleId="35">
    <w:name w:val="网格型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网格型2"/>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
    <w:name w:val="网格型3"/>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网格型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5"/>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6"/>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7"/>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网格型8"/>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
    <w:name w:val="网格型9"/>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网格型10"/>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
    <w:name w:val="网格型1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网格型12"/>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
    <w:name w:val="网格型13"/>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
    <w:name w:val="网格型1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50">
    <w:name w:val="List Paragraph"/>
    <w:basedOn w:val="1"/>
    <w:autoRedefine/>
    <w:qFormat/>
    <w:uiPriority w:val="34"/>
    <w:pPr>
      <w:ind w:firstLine="420" w:firstLineChars="200"/>
    </w:pPr>
  </w:style>
  <w:style w:type="table" w:customStyle="1" w:styleId="51">
    <w:name w:val="网格型15"/>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
    <w:name w:val="网格型16"/>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
    <w:name w:val="网格型17"/>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
    <w:name w:val="网格型18"/>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
    <w:name w:val="网格型2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网格型3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网格型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
    <w:name w:val="网格型5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网格型6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网格型7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网格型8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9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10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11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12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网格型13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1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15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
    <w:name w:val="网格型16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0">
    <w:name w:val="样式 样式 样式 首行缩进:  2 字符 + 首行缩进:  2 字符 + 首行缩进:  2 字符"/>
    <w:basedOn w:val="1"/>
    <w:autoRedefine/>
    <w:qFormat/>
    <w:uiPriority w:val="0"/>
    <w:pPr>
      <w:spacing w:line="360" w:lineRule="auto"/>
    </w:pPr>
    <w:rPr>
      <w:rFonts w:ascii="Arial" w:hAnsi="Arial" w:eastAsia="新宋体" w:cs="宋体"/>
      <w:sz w:val="24"/>
      <w:szCs w:val="20"/>
    </w:rPr>
  </w:style>
  <w:style w:type="table" w:customStyle="1" w:styleId="71">
    <w:name w:val="网格型19"/>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
    <w:name w:val="网格型11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
    <w:name w:val="网格型9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网格型110"/>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
    <w:name w:val="网格型12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网格型7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
    <w:name w:val="网格型2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网格型14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网格型10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网格型8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网格型3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网格型13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网格型6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
    <w:name w:val="网格型5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
    <w:name w:val="网格型4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87">
    <w:name w:val="TOC 标题2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88">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9">
    <w:name w:val="批注文字 Char"/>
    <w:basedOn w:val="22"/>
    <w:autoRedefine/>
    <w:qFormat/>
    <w:uiPriority w:val="99"/>
  </w:style>
  <w:style w:type="character" w:customStyle="1" w:styleId="90">
    <w:name w:val="页眉 字符1"/>
    <w:basedOn w:val="22"/>
    <w:autoRedefine/>
    <w:semiHidden/>
    <w:qFormat/>
    <w:uiPriority w:val="99"/>
    <w:rPr>
      <w:kern w:val="2"/>
      <w:sz w:val="18"/>
      <w:szCs w:val="18"/>
    </w:rPr>
  </w:style>
  <w:style w:type="character" w:customStyle="1" w:styleId="91">
    <w:name w:val="页脚 字符1"/>
    <w:basedOn w:val="22"/>
    <w:autoRedefine/>
    <w:semiHidden/>
    <w:qFormat/>
    <w:uiPriority w:val="99"/>
    <w:rPr>
      <w:kern w:val="2"/>
      <w:sz w:val="18"/>
      <w:szCs w:val="18"/>
    </w:rPr>
  </w:style>
  <w:style w:type="character" w:customStyle="1" w:styleId="92">
    <w:name w:val="批注框文本 字符1"/>
    <w:basedOn w:val="22"/>
    <w:autoRedefine/>
    <w:semiHidden/>
    <w:qFormat/>
    <w:uiPriority w:val="99"/>
    <w:rPr>
      <w:kern w:val="2"/>
      <w:sz w:val="18"/>
      <w:szCs w:val="18"/>
    </w:rPr>
  </w:style>
  <w:style w:type="character" w:customStyle="1" w:styleId="93">
    <w:name w:val="批注文字 字符1"/>
    <w:basedOn w:val="22"/>
    <w:autoRedefine/>
    <w:semiHidden/>
    <w:qFormat/>
    <w:uiPriority w:val="99"/>
    <w:rPr>
      <w:kern w:val="2"/>
      <w:sz w:val="21"/>
      <w:szCs w:val="22"/>
    </w:rPr>
  </w:style>
  <w:style w:type="character" w:customStyle="1" w:styleId="94">
    <w:name w:val="批注主题 字符1"/>
    <w:basedOn w:val="93"/>
    <w:autoRedefine/>
    <w:semiHidden/>
    <w:qFormat/>
    <w:uiPriority w:val="99"/>
    <w:rPr>
      <w:b/>
      <w:bCs/>
      <w:kern w:val="2"/>
      <w:sz w:val="21"/>
      <w:szCs w:val="22"/>
    </w:rPr>
  </w:style>
  <w:style w:type="character" w:customStyle="1" w:styleId="95">
    <w:name w:val="日期 字符1"/>
    <w:basedOn w:val="22"/>
    <w:autoRedefine/>
    <w:semiHidden/>
    <w:qFormat/>
    <w:uiPriority w:val="99"/>
    <w:rPr>
      <w:kern w:val="2"/>
      <w:sz w:val="21"/>
      <w:szCs w:val="22"/>
    </w:rPr>
  </w:style>
  <w:style w:type="paragraph" w:customStyle="1" w:styleId="96">
    <w:name w:val="TOC 标题3"/>
    <w:basedOn w:val="2"/>
    <w:next w:val="1"/>
    <w:autoRedefine/>
    <w:unhideWhenUsed/>
    <w:qFormat/>
    <w:uiPriority w:val="39"/>
    <w:pPr>
      <w:widowControl/>
      <w:spacing w:before="240" w:after="0" w:line="259" w:lineRule="auto"/>
      <w:jc w:val="left"/>
      <w:outlineLvl w:val="9"/>
    </w:pPr>
    <w:rPr>
      <w:rFonts w:ascii="Cambria" w:hAnsi="Cambria" w:eastAsia="宋体" w:cs="Times New Roman"/>
      <w:b w:val="0"/>
      <w:bCs w:val="0"/>
      <w:color w:val="366091"/>
      <w:kern w:val="0"/>
      <w:sz w:val="32"/>
      <w:szCs w:val="32"/>
    </w:rPr>
  </w:style>
  <w:style w:type="table" w:customStyle="1" w:styleId="97">
    <w:name w:val="网格型15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
    <w:name w:val="网格型11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
    <w:name w:val="网格型7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网格型20"/>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网格型16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网格型12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网格型8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网格型13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网格型7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网格型3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网格型14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网格型10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网格型8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网格型11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
    <w:name w:val="网格型12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
    <w:name w:val="网格型5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
    <w:name w:val="网格型4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
    <w:name w:val="网格型2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
    <w:name w:val="网格型15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
    <w:name w:val="网格型114"/>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
    <w:name w:val="网格型9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
    <w:name w:val="网格型63"/>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
    <w:name w:val="网格型3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网格型16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
    <w:name w:val="网格型17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
    <w:name w:val="网格型4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
    <w:name w:val="网格型18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
    <w:name w:val="网格型5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
    <w:name w:val="网格型2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
    <w:name w:val="网格型14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
    <w:name w:val="网格型10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
    <w:name w:val="网格型6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
    <w:name w:val="网格型13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
    <w:name w:val="网格型91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表格式1"/>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
    <w:name w:val="表格式2"/>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
    <w:name w:val="表格式3"/>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
    <w:name w:val="表格式4"/>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prop31"/>
    <w:basedOn w:val="1"/>
    <w:next w:val="1"/>
    <w:autoRedefine/>
    <w:unhideWhenUsed/>
    <w:qFormat/>
    <w:uiPriority w:val="9"/>
    <w:pPr>
      <w:keepNext/>
      <w:keepLines/>
      <w:spacing w:before="260" w:after="260" w:line="416" w:lineRule="auto"/>
      <w:outlineLvl w:val="2"/>
    </w:pPr>
    <w:rPr>
      <w:b/>
      <w:bCs/>
      <w:sz w:val="32"/>
      <w:szCs w:val="32"/>
    </w:rPr>
  </w:style>
  <w:style w:type="table" w:customStyle="1" w:styleId="136">
    <w:name w:val="表格式5"/>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7">
    <w:name w:val="标题 3 字符"/>
    <w:basedOn w:val="22"/>
    <w:autoRedefine/>
    <w:semiHidden/>
    <w:qFormat/>
    <w:uiPriority w:val="9"/>
    <w:rPr>
      <w:rFonts w:ascii="Times New Roman" w:hAnsi="Times New Roman" w:eastAsia="仿宋" w:cs="Times New Roman"/>
      <w:b/>
      <w:bCs/>
      <w:sz w:val="32"/>
      <w:szCs w:val="32"/>
    </w:rPr>
  </w:style>
  <w:style w:type="character" w:customStyle="1" w:styleId="138">
    <w:name w:val="标题 3 Char"/>
    <w:basedOn w:val="22"/>
    <w:link w:val="4"/>
    <w:autoRedefine/>
    <w:qFormat/>
    <w:uiPriority w:val="9"/>
    <w:rPr>
      <w:b/>
      <w:bCs/>
      <w:sz w:val="32"/>
      <w:szCs w:val="32"/>
    </w:rPr>
  </w:style>
  <w:style w:type="table" w:customStyle="1" w:styleId="139">
    <w:name w:val="表格样式21"/>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0">
    <w:name w:val="网格型115"/>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1">
    <w:name w:val="正文文本 Char"/>
    <w:basedOn w:val="22"/>
    <w:link w:val="7"/>
    <w:autoRedefine/>
    <w:qFormat/>
    <w:uiPriority w:val="99"/>
    <w:rPr>
      <w:rFonts w:ascii="Calibri" w:hAnsi="Calibri" w:eastAsia="宋体" w:cs="Times New Roman"/>
      <w:kern w:val="2"/>
      <w:sz w:val="24"/>
      <w:szCs w:val="24"/>
    </w:rPr>
  </w:style>
  <w:style w:type="paragraph" w:customStyle="1" w:styleId="142">
    <w:name w:val="Default"/>
    <w:basedOn w:val="143"/>
    <w:autoRedefine/>
    <w:qFormat/>
    <w:uiPriority w:val="0"/>
    <w:pPr>
      <w:autoSpaceDE w:val="0"/>
      <w:autoSpaceDN w:val="0"/>
      <w:adjustRightInd w:val="0"/>
      <w:spacing w:line="360" w:lineRule="auto"/>
      <w:ind w:firstLine="601"/>
    </w:pPr>
    <w:rPr>
      <w:rFonts w:ascii="仿宋" w:eastAsia="仿宋" w:cs="仿宋" w:hAnsiTheme="minorHAnsi"/>
      <w:color w:val="000000"/>
      <w:sz w:val="24"/>
    </w:rPr>
  </w:style>
  <w:style w:type="paragraph" w:customStyle="1" w:styleId="143">
    <w:name w:val="正文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4">
    <w:name w:val="页眉 字符3"/>
    <w:basedOn w:val="22"/>
    <w:autoRedefine/>
    <w:qFormat/>
    <w:uiPriority w:val="99"/>
    <w:rPr>
      <w:sz w:val="18"/>
      <w:szCs w:val="18"/>
    </w:rPr>
  </w:style>
  <w:style w:type="character" w:customStyle="1" w:styleId="145">
    <w:name w:val="页脚 字符3"/>
    <w:basedOn w:val="22"/>
    <w:autoRedefine/>
    <w:qFormat/>
    <w:uiPriority w:val="99"/>
    <w:rPr>
      <w:sz w:val="18"/>
      <w:szCs w:val="18"/>
    </w:rPr>
  </w:style>
  <w:style w:type="table" w:customStyle="1" w:styleId="146">
    <w:name w:val="网格型116"/>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
    <w:name w:val="网格型24"/>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8">
    <w:name w:val="标题 3 字符2"/>
    <w:basedOn w:val="22"/>
    <w:autoRedefine/>
    <w:semiHidden/>
    <w:qFormat/>
    <w:uiPriority w:val="9"/>
    <w:rPr>
      <w:b/>
      <w:bCs/>
      <w:kern w:val="2"/>
      <w:sz w:val="32"/>
      <w:szCs w:val="32"/>
    </w:rPr>
  </w:style>
  <w:style w:type="table" w:customStyle="1" w:styleId="149">
    <w:name w:val="表格式6"/>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
    <w:name w:val="表格样式211"/>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1">
    <w:name w:val="网格型117"/>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
    <w:name w:val="表格式11"/>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
    <w:name w:val="网格型118"/>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
    <w:name w:val="网格型25"/>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
    <w:name w:val="表格式21"/>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
    <w:name w:val="网格型124"/>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
    <w:name w:val="网格型21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
    <w:name w:val="网格型3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
    <w:name w:val="网格型4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
    <w:name w:val="网格型5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
    <w:name w:val="网格型6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
    <w:name w:val="网格型7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
    <w:name w:val="网格型8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
    <w:name w:val="网格型9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
    <w:name w:val="网格型104"/>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
    <w:name w:val="网格型1112"/>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
    <w:name w:val="表格式7"/>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
    <w:name w:val="网格型26"/>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
    <w:name w:val="网格型27"/>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
    <w:name w:val="表格样式212"/>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1">
    <w:name w:val="表格式8"/>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
    <w:name w:val="表格式9"/>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
    <w:name w:val="表格样式213"/>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4">
    <w:name w:val="网格型119"/>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
    <w:name w:val="表格式10"/>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
    <w:name w:val="表格式12"/>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
    <w:name w:val="表格样式214"/>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8">
    <w:name w:val="网格型120"/>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
    <w:name w:val="表格式13"/>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
    <w:name w:val="表格式14"/>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
    <w:name w:val="表格样式215"/>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2">
    <w:name w:val="网格型125"/>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
    <w:name w:val="表格式15"/>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
    <w:name w:val="表格式16"/>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
    <w:name w:val="表格样式216"/>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6">
    <w:name w:val="网格型126"/>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
    <w:name w:val="表格式17"/>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
    <w:name w:val="表格样式217"/>
    <w:basedOn w:val="2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9">
    <w:name w:val="网格型127"/>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
    <w:name w:val="表格式18"/>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
    <w:name w:val="网格型1110"/>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
    <w:name w:val="网格型28"/>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3">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
    <w:name w:val="表格格式"/>
    <w:basedOn w:val="1"/>
    <w:link w:val="196"/>
    <w:autoRedefine/>
    <w:qFormat/>
    <w:uiPriority w:val="0"/>
    <w:pPr>
      <w:jc w:val="left"/>
    </w:pPr>
    <w:rPr>
      <w:rFonts w:ascii="仿宋" w:hAnsi="Times New Roman" w:eastAsia="仿宋" w:cs="Times New Roman"/>
      <w:bCs/>
      <w:color w:val="000000"/>
      <w:kern w:val="0"/>
      <w:szCs w:val="21"/>
    </w:rPr>
  </w:style>
  <w:style w:type="paragraph" w:customStyle="1" w:styleId="195">
    <w:name w:val="表格"/>
    <w:basedOn w:val="194"/>
    <w:link w:val="197"/>
    <w:autoRedefine/>
    <w:qFormat/>
    <w:uiPriority w:val="0"/>
  </w:style>
  <w:style w:type="character" w:customStyle="1" w:styleId="196">
    <w:name w:val="表格格式 字符"/>
    <w:basedOn w:val="22"/>
    <w:link w:val="194"/>
    <w:autoRedefine/>
    <w:qFormat/>
    <w:uiPriority w:val="0"/>
    <w:rPr>
      <w:rFonts w:ascii="仿宋" w:hAnsi="Times New Roman" w:eastAsia="仿宋" w:cs="Times New Roman"/>
      <w:bCs/>
      <w:color w:val="000000"/>
      <w:sz w:val="21"/>
      <w:szCs w:val="21"/>
    </w:rPr>
  </w:style>
  <w:style w:type="character" w:customStyle="1" w:styleId="197">
    <w:name w:val="表格 字符"/>
    <w:basedOn w:val="196"/>
    <w:link w:val="195"/>
    <w:autoRedefine/>
    <w:qFormat/>
    <w:uiPriority w:val="0"/>
    <w:rPr>
      <w:rFonts w:ascii="仿宋" w:hAnsi="Times New Roman" w:eastAsia="仿宋" w:cs="Times New Roman"/>
      <w:color w:val="000000"/>
      <w:sz w:val="21"/>
      <w:szCs w:val="21"/>
    </w:rPr>
  </w:style>
  <w:style w:type="table" w:customStyle="1" w:styleId="198">
    <w:name w:val="表格式161"/>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
    <w:name w:val="网格型29"/>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0">
    <w:name w:val="无间隔1"/>
    <w:next w:val="201"/>
    <w:link w:val="204"/>
    <w:autoRedefine/>
    <w:qFormat/>
    <w:uiPriority w:val="1"/>
    <w:pPr>
      <w:widowControl w:val="0"/>
      <w:jc w:val="both"/>
    </w:pPr>
    <w:rPr>
      <w:rFonts w:eastAsia="仿宋" w:asciiTheme="minorHAnsi" w:hAnsiTheme="minorHAnsi" w:cstheme="minorBidi"/>
      <w:kern w:val="2"/>
      <w:sz w:val="21"/>
      <w:szCs w:val="22"/>
      <w:lang w:val="en-US" w:eastAsia="zh-CN" w:bidi="ar-SA"/>
    </w:rPr>
  </w:style>
  <w:style w:type="paragraph" w:styleId="201">
    <w:name w:val="No Spacing"/>
    <w:autoRedefine/>
    <w:unhideWhenUsed/>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样式1"/>
    <w:basedOn w:val="201"/>
    <w:link w:val="205"/>
    <w:autoRedefine/>
    <w:qFormat/>
    <w:uiPriority w:val="0"/>
    <w:rPr>
      <w:rFonts w:eastAsia="仿宋"/>
    </w:rPr>
  </w:style>
  <w:style w:type="table" w:customStyle="1" w:styleId="203">
    <w:name w:val="样式2"/>
    <w:basedOn w:val="20"/>
    <w:autoRedefine/>
    <w:qFormat/>
    <w:uiPriority w:val="99"/>
    <w:rPr>
      <w:kern w:val="2"/>
      <w:sz w:val="21"/>
      <w:szCs w:val="22"/>
    </w:rPr>
    <w:tblPr>
      <w:tblCellMar>
        <w:top w:w="0" w:type="dxa"/>
        <w:left w:w="108" w:type="dxa"/>
        <w:bottom w:w="0" w:type="dxa"/>
        <w:right w:w="108" w:type="dxa"/>
      </w:tblCellMar>
    </w:tblPr>
  </w:style>
  <w:style w:type="character" w:customStyle="1" w:styleId="204">
    <w:name w:val="无间隔 字符"/>
    <w:basedOn w:val="22"/>
    <w:link w:val="200"/>
    <w:autoRedefine/>
    <w:qFormat/>
    <w:uiPriority w:val="1"/>
    <w:rPr>
      <w:rFonts w:eastAsia="仿宋"/>
    </w:rPr>
  </w:style>
  <w:style w:type="character" w:customStyle="1" w:styleId="205">
    <w:name w:val="样式1 字符"/>
    <w:basedOn w:val="204"/>
    <w:link w:val="202"/>
    <w:autoRedefine/>
    <w:qFormat/>
    <w:uiPriority w:val="0"/>
    <w:rPr>
      <w:rFonts w:eastAsia="仿宋"/>
      <w:kern w:val="2"/>
      <w:sz w:val="21"/>
      <w:szCs w:val="22"/>
    </w:rPr>
  </w:style>
  <w:style w:type="table" w:customStyle="1" w:styleId="206">
    <w:name w:val="网格型24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
    <w:name w:val="表格式19"/>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
    <w:name w:val="表格式162"/>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网格型30"/>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
    <w:name w:val="样式21"/>
    <w:basedOn w:val="20"/>
    <w:autoRedefine/>
    <w:qFormat/>
    <w:uiPriority w:val="99"/>
    <w:rPr>
      <w:kern w:val="2"/>
      <w:sz w:val="21"/>
      <w:szCs w:val="22"/>
    </w:rPr>
    <w:tblPr>
      <w:tblCellMar>
        <w:top w:w="0" w:type="dxa"/>
        <w:left w:w="108" w:type="dxa"/>
        <w:bottom w:w="0" w:type="dxa"/>
        <w:right w:w="108" w:type="dxa"/>
      </w:tblCellMar>
    </w:tblPr>
  </w:style>
  <w:style w:type="table" w:customStyle="1" w:styleId="211">
    <w:name w:val="网格型5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
    <w:name w:val="网格型3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
    <w:name w:val="网格型4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
    <w:name w:val="网格型6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网格型1112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
    <w:name w:val="网格型9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网格型8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
    <w:name w:val="网格型10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
    <w:name w:val="网格型74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
    <w:name w:val="网格型35"/>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
    <w:name w:val="网格型36"/>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
    <w:name w:val="网格型37"/>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
    <w:name w:val="网格型38"/>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
    <w:name w:val="表格式163"/>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
    <w:name w:val="网格型39"/>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
    <w:name w:val="样式22"/>
    <w:basedOn w:val="20"/>
    <w:autoRedefine/>
    <w:qFormat/>
    <w:uiPriority w:val="99"/>
    <w:rPr>
      <w:kern w:val="2"/>
      <w:sz w:val="21"/>
      <w:szCs w:val="22"/>
    </w:rPr>
    <w:tblPr>
      <w:tblCellMar>
        <w:top w:w="0" w:type="dxa"/>
        <w:left w:w="108" w:type="dxa"/>
        <w:bottom w:w="0" w:type="dxa"/>
        <w:right w:w="108" w:type="dxa"/>
      </w:tblCellMar>
    </w:tblPr>
  </w:style>
  <w:style w:type="table" w:customStyle="1" w:styleId="227">
    <w:name w:val="网格型1251"/>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
    <w:name w:val="表格式164"/>
    <w:basedOn w:val="20"/>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
    <w:name w:val="网格型40"/>
    <w:basedOn w:val="2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
    <w:name w:val="样式23"/>
    <w:basedOn w:val="20"/>
    <w:autoRedefine/>
    <w:qFormat/>
    <w:uiPriority w:val="99"/>
    <w:rPr>
      <w:kern w:val="2"/>
      <w:sz w:val="21"/>
      <w:szCs w:val="22"/>
    </w:rPr>
    <w:tblPr>
      <w:tblCellMar>
        <w:top w:w="0" w:type="dxa"/>
        <w:left w:w="108" w:type="dxa"/>
        <w:bottom w:w="0" w:type="dxa"/>
        <w:right w:w="108" w:type="dxa"/>
      </w:tblCellMar>
    </w:tblPr>
  </w:style>
  <w:style w:type="table" w:customStyle="1" w:styleId="231">
    <w:name w:val="网格型1252"/>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2">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33">
    <w:name w:val="0正文"/>
    <w:basedOn w:val="8"/>
    <w:autoRedefine/>
    <w:qFormat/>
    <w:uiPriority w:val="0"/>
    <w:pPr>
      <w:spacing w:after="0"/>
      <w:ind w:left="0" w:leftChars="0"/>
    </w:pPr>
    <w:rPr>
      <w:rFonts w:cs="宋体"/>
      <w:kern w:val="0"/>
      <w:szCs w:val="20"/>
    </w:rPr>
  </w:style>
  <w:style w:type="paragraph" w:customStyle="1" w:styleId="234">
    <w:name w:val="报告书正文"/>
    <w:basedOn w:val="1"/>
    <w:autoRedefine/>
    <w:qFormat/>
    <w:uiPriority w:val="0"/>
    <w:pPr>
      <w:spacing w:line="360" w:lineRule="auto"/>
      <w:ind w:firstLine="480" w:firstLineChars="200"/>
      <w:jc w:val="left"/>
    </w:pPr>
    <w:rPr>
      <w:rFonts w:ascii="Times New Roman" w:hAnsi="Times New Roman" w:eastAsia="宋体" w:cs="Times New Roman"/>
      <w:snapToGrid w:val="0"/>
      <w:kern w:val="0"/>
      <w:sz w:val="24"/>
      <w:szCs w:val="28"/>
      <w:lang w:val="zh-CN"/>
    </w:rPr>
  </w:style>
  <w:style w:type="paragraph" w:customStyle="1" w:styleId="235">
    <w:name w:val="EIS_TEXT"/>
    <w:basedOn w:val="1"/>
    <w:autoRedefine/>
    <w:qFormat/>
    <w:uiPriority w:val="0"/>
    <w:pPr>
      <w:adjustRightInd w:val="0"/>
      <w:snapToGrid w:val="0"/>
      <w:spacing w:before="20" w:beforeLines="20" w:after="20" w:afterLines="20" w:line="360" w:lineRule="auto"/>
      <w:ind w:firstLine="480" w:firstLineChars="200"/>
      <w:contextualSpacing/>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107</Pages>
  <Words>154591</Words>
  <Characters>158061</Characters>
  <Lines>4045</Lines>
  <Paragraphs>1138</Paragraphs>
  <TotalTime>0</TotalTime>
  <ScaleCrop>false</ScaleCrop>
  <LinksUpToDate>false</LinksUpToDate>
  <CharactersWithSpaces>158451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2020-11-18T06:53:00Z</dcterms:created>
  <dc:creator>Lisa</dc:creator>
  <cp:lastModifiedBy>快乐驿站</cp:lastModifiedBy>
  <cp:lastPrinted>2019-11-09T10:14:00Z</cp:lastPrinted>
  <dcterms:modified xsi:type="dcterms:W3CDTF">2024-11-13T06:55:41Z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A32AB944448941E18EF533E36D74FC27_13</vt:lpwstr>
  </property>
</Properties>
</file>