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line="360" w:lineRule="auto"/>
        <w:ind w:left="0"/>
        <w:jc w:val="center"/>
        <w:rPr>
          <w:rFonts w:ascii="仿宋" w:hAnsi="仿宋" w:eastAsia="仿宋" w:cs="仿宋"/>
          <w:b/>
          <w:bCs/>
          <w:sz w:val="44"/>
          <w:szCs w:val="44"/>
          <w:lang w:eastAsia="zh-CN"/>
        </w:rPr>
      </w:pPr>
    </w:p>
    <w:p>
      <w:pPr>
        <w:spacing w:line="600" w:lineRule="exact"/>
        <w:jc w:val="center"/>
        <w:rPr>
          <w:rFonts w:hint="eastAsia" w:ascii="方正小标宋简体" w:hAnsi="黑体" w:eastAsia="方正小标宋简体" w:cs="Times New Roman"/>
          <w:kern w:val="2"/>
          <w:sz w:val="44"/>
          <w:szCs w:val="44"/>
          <w:lang w:val="en-US" w:eastAsia="zh-CN"/>
        </w:rPr>
      </w:pPr>
      <w:r>
        <w:rPr>
          <w:rFonts w:hint="eastAsia" w:ascii="方正小标宋简体" w:hAnsi="黑体" w:eastAsia="方正小标宋简体" w:cs="Times New Roman"/>
          <w:kern w:val="2"/>
          <w:sz w:val="44"/>
          <w:szCs w:val="44"/>
          <w:lang w:eastAsia="zh-CN"/>
        </w:rPr>
        <w:t>长春市人民政府关于</w:t>
      </w:r>
      <w:r>
        <w:rPr>
          <w:rFonts w:hint="eastAsia" w:ascii="方正小标宋简体" w:hAnsi="黑体" w:eastAsia="方正小标宋简体" w:cs="Times New Roman"/>
          <w:kern w:val="2"/>
          <w:sz w:val="44"/>
          <w:szCs w:val="44"/>
          <w:lang w:val="en-US" w:eastAsia="zh-CN"/>
        </w:rPr>
        <w:t>加强长春市</w:t>
      </w:r>
    </w:p>
    <w:p>
      <w:pPr>
        <w:spacing w:line="600" w:lineRule="exact"/>
        <w:jc w:val="center"/>
        <w:rPr>
          <w:rFonts w:ascii="方正小标宋简体" w:hAnsi="黑体" w:eastAsia="方正小标宋简体" w:cs="Times New Roman"/>
          <w:kern w:val="2"/>
          <w:sz w:val="44"/>
          <w:szCs w:val="44"/>
          <w:lang w:eastAsia="zh-CN"/>
        </w:rPr>
      </w:pPr>
      <w:r>
        <w:rPr>
          <w:rFonts w:hint="eastAsia" w:ascii="方正小标宋简体" w:hAnsi="黑体" w:eastAsia="方正小标宋简体" w:cs="Times New Roman"/>
          <w:kern w:val="2"/>
          <w:sz w:val="44"/>
          <w:szCs w:val="44"/>
          <w:lang w:eastAsia="zh-CN"/>
        </w:rPr>
        <w:t>生态环境分区管控的</w:t>
      </w:r>
      <w:r>
        <w:rPr>
          <w:rFonts w:hint="eastAsia" w:ascii="方正小标宋简体" w:hAnsi="黑体" w:eastAsia="方正小标宋简体" w:cs="Times New Roman"/>
          <w:kern w:val="2"/>
          <w:sz w:val="44"/>
          <w:szCs w:val="44"/>
          <w:lang w:val="en-US" w:eastAsia="zh-CN"/>
        </w:rPr>
        <w:t>实施</w:t>
      </w:r>
      <w:r>
        <w:rPr>
          <w:rFonts w:hint="eastAsia" w:ascii="方正小标宋简体" w:hAnsi="黑体" w:eastAsia="方正小标宋简体" w:cs="Times New Roman"/>
          <w:kern w:val="2"/>
          <w:sz w:val="44"/>
          <w:szCs w:val="44"/>
          <w:lang w:eastAsia="zh-CN"/>
        </w:rPr>
        <w:t>意见</w:t>
      </w:r>
    </w:p>
    <w:p>
      <w:pPr>
        <w:jc w:val="center"/>
        <w:rPr>
          <w:rFonts w:ascii="楷体_GB2312" w:eastAsia="楷体_GB2312"/>
          <w:sz w:val="32"/>
          <w:szCs w:val="32"/>
        </w:rPr>
      </w:pPr>
      <w:r>
        <w:rPr>
          <w:rFonts w:hint="eastAsia" w:ascii="楷体_GB2312" w:eastAsia="楷体_GB2312"/>
          <w:sz w:val="32"/>
          <w:szCs w:val="32"/>
        </w:rPr>
        <w:t>（代拟稿）</w:t>
      </w:r>
    </w:p>
    <w:p>
      <w:pPr>
        <w:pStyle w:val="12"/>
        <w:rPr>
          <w:color w:val="auto"/>
        </w:rPr>
      </w:pPr>
    </w:p>
    <w:p>
      <w:pPr>
        <w:keepNext w:val="0"/>
        <w:keepLines w:val="0"/>
        <w:pageBreakBefore w:val="0"/>
        <w:kinsoku/>
        <w:wordWrap/>
        <w:overflowPunct/>
        <w:topLinePunct w:val="0"/>
        <w:autoSpaceDE/>
        <w:autoSpaceDN/>
        <w:bidi w:val="0"/>
        <w:adjustRightInd/>
        <w:snapToGrid/>
        <w:spacing w:line="240" w:lineRule="auto"/>
        <w:ind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为贯彻落实《中共中央办公厅、国务院办公厅关于加强生态环境分区管控的意见》（中办发〔2024〕22号）精神，按照《中共吉林省委办公厅 吉林省人民政府办公厅印发&lt;关于加强生态环境分区管控的若干措施&gt;的通知》（吉办发〔2024〕12号）、吉林省区域空间生态环境评价工作协调小组办公室《关于印发〈吉林省生态环境分区管控动态更新工作实施方案〉的函》（吉环区评办〔2023〕1号）要求，结合长春市发展规划及生态环境保护目标，进一步加强生态环境分区管控，严守生态保护红线、环境质量底线、资源利用上线，筑牢生态安全屏障，强化长春市生态环境分区精细化管理，制定本案。</w:t>
      </w:r>
    </w:p>
    <w:p>
      <w:pPr>
        <w:pStyle w:val="4"/>
        <w:keepNext w:val="0"/>
        <w:keepLines w:val="0"/>
        <w:pageBreakBefore w:val="0"/>
        <w:kinsoku/>
        <w:wordWrap/>
        <w:overflowPunct/>
        <w:topLinePunct w:val="0"/>
        <w:autoSpaceDE/>
        <w:autoSpaceDN/>
        <w:bidi w:val="0"/>
        <w:adjustRightInd/>
        <w:snapToGrid/>
        <w:spacing w:before="0" w:line="240" w:lineRule="auto"/>
        <w:ind w:left="0" w:firstLine="640" w:firstLineChars="200"/>
        <w:contextualSpacing/>
        <w:jc w:val="both"/>
        <w:textAlignment w:val="auto"/>
        <w:rPr>
          <w:rFonts w:ascii="黑体" w:hAnsi="黑体" w:eastAsia="黑体" w:cs="黑体"/>
          <w:sz w:val="32"/>
          <w:szCs w:val="32"/>
          <w:lang w:eastAsia="zh-CN"/>
        </w:rPr>
      </w:pPr>
      <w:r>
        <w:rPr>
          <w:rFonts w:hint="eastAsia" w:ascii="黑体" w:hAnsi="黑体" w:eastAsia="黑体" w:cs="黑体"/>
          <w:sz w:val="32"/>
          <w:szCs w:val="32"/>
          <w:lang w:eastAsia="zh-CN"/>
        </w:rPr>
        <w:t>一、强化生态环境分区管控</w:t>
      </w:r>
    </w:p>
    <w:p>
      <w:pPr>
        <w:pStyle w:val="4"/>
        <w:keepNext w:val="0"/>
        <w:keepLines w:val="0"/>
        <w:pageBreakBefore w:val="0"/>
        <w:kinsoku/>
        <w:wordWrap/>
        <w:overflowPunct/>
        <w:topLinePunct w:val="0"/>
        <w:autoSpaceDE/>
        <w:autoSpaceDN/>
        <w:bidi w:val="0"/>
        <w:adjustRightInd/>
        <w:snapToGrid/>
        <w:spacing w:before="0" w:line="240" w:lineRule="auto"/>
        <w:ind w:left="0" w:firstLine="640" w:firstLineChars="200"/>
        <w:contextualSpacing/>
        <w:jc w:val="both"/>
        <w:textAlignment w:val="auto"/>
        <w:rPr>
          <w:rFonts w:ascii="仿宋_GB2312" w:eastAsia="仿宋_GB2312"/>
          <w:sz w:val="32"/>
          <w:szCs w:val="32"/>
          <w:lang w:eastAsia="zh-CN"/>
        </w:rPr>
      </w:pPr>
      <w:bookmarkStart w:id="0" w:name="_Toc513617439"/>
      <w:r>
        <w:rPr>
          <w:rFonts w:ascii="仿宋_GB2312" w:eastAsia="仿宋_GB2312"/>
          <w:sz w:val="32"/>
          <w:szCs w:val="32"/>
          <w:lang w:eastAsia="zh-CN"/>
        </w:rPr>
        <w:t>（一）科学确定生态环境管控单元。</w:t>
      </w:r>
    </w:p>
    <w:p>
      <w:pPr>
        <w:pStyle w:val="4"/>
        <w:keepNext w:val="0"/>
        <w:keepLines w:val="0"/>
        <w:pageBreakBefore w:val="0"/>
        <w:kinsoku/>
        <w:wordWrap/>
        <w:overflowPunct/>
        <w:topLinePunct w:val="0"/>
        <w:autoSpaceDE/>
        <w:autoSpaceDN/>
        <w:bidi w:val="0"/>
        <w:adjustRightInd/>
        <w:snapToGrid/>
        <w:spacing w:before="0" w:line="240" w:lineRule="auto"/>
        <w:ind w:left="0" w:firstLine="640" w:firstLineChars="200"/>
        <w:contextualSpacing/>
        <w:jc w:val="both"/>
        <w:textAlignment w:val="auto"/>
        <w:rPr>
          <w:rFonts w:ascii="仿宋_GB2312" w:eastAsia="仿宋_GB2312"/>
          <w:color w:val="FF0000"/>
          <w:sz w:val="32"/>
          <w:szCs w:val="32"/>
          <w:lang w:eastAsia="zh-CN"/>
        </w:rPr>
      </w:pPr>
      <w:r>
        <w:rPr>
          <w:rFonts w:ascii="仿宋_GB2312" w:eastAsia="仿宋_GB2312"/>
          <w:sz w:val="32"/>
          <w:szCs w:val="32"/>
          <w:lang w:eastAsia="zh-CN"/>
        </w:rPr>
        <w:t>按照坚守底线、系统保护、精准管控、统筹协调的原则，基于生态环境结构、功能、质量等区域特征，通过环境评价，在大气、水、土壤、生态等生态环境要素管理分区的基础上，衔接“三区三线”划定成果，</w:t>
      </w:r>
      <w:r>
        <w:rPr>
          <w:rFonts w:hint="eastAsia" w:ascii="仿宋_GB2312" w:eastAsia="仿宋_GB2312"/>
          <w:sz w:val="32"/>
          <w:szCs w:val="32"/>
          <w:lang w:eastAsia="zh-CN"/>
        </w:rPr>
        <w:t>长春市</w:t>
      </w:r>
      <w:r>
        <w:rPr>
          <w:rFonts w:ascii="仿宋_GB2312" w:eastAsia="仿宋_GB2312"/>
          <w:sz w:val="32"/>
          <w:szCs w:val="32"/>
          <w:lang w:eastAsia="zh-CN"/>
        </w:rPr>
        <w:t>共</w:t>
      </w:r>
      <w:r>
        <w:rPr>
          <w:rFonts w:hint="eastAsia" w:ascii="仿宋_GB2312" w:eastAsia="仿宋_GB2312"/>
          <w:sz w:val="32"/>
          <w:szCs w:val="32"/>
          <w:lang w:eastAsia="zh-CN"/>
        </w:rPr>
        <w:t>四个层级，共157</w:t>
      </w:r>
      <w:r>
        <w:rPr>
          <w:rFonts w:ascii="仿宋_GB2312" w:eastAsia="仿宋_GB2312"/>
          <w:sz w:val="32"/>
          <w:szCs w:val="32"/>
          <w:lang w:eastAsia="zh-CN"/>
        </w:rPr>
        <w:t>个环境管控单元，</w:t>
      </w:r>
      <w:r>
        <w:rPr>
          <w:rFonts w:hint="eastAsia" w:ascii="仿宋_GB2312" w:eastAsia="仿宋_GB2312"/>
          <w:sz w:val="32"/>
          <w:szCs w:val="32"/>
          <w:lang w:eastAsia="zh-CN"/>
        </w:rPr>
        <w:t>其中</w:t>
      </w:r>
      <w:r>
        <w:rPr>
          <w:rFonts w:ascii="仿宋_GB2312" w:eastAsia="仿宋_GB2312"/>
          <w:sz w:val="32"/>
          <w:szCs w:val="32"/>
          <w:lang w:eastAsia="zh-CN"/>
        </w:rPr>
        <w:t>优先保护单元</w:t>
      </w:r>
      <w:r>
        <w:rPr>
          <w:rFonts w:hint="eastAsia" w:ascii="仿宋_GB2312" w:eastAsia="仿宋_GB2312"/>
          <w:sz w:val="32"/>
          <w:szCs w:val="32"/>
          <w:lang w:eastAsia="zh-CN"/>
        </w:rPr>
        <w:t>75</w:t>
      </w:r>
      <w:r>
        <w:rPr>
          <w:rFonts w:ascii="仿宋_GB2312" w:eastAsia="仿宋_GB2312"/>
          <w:sz w:val="32"/>
          <w:szCs w:val="32"/>
          <w:lang w:eastAsia="zh-CN"/>
        </w:rPr>
        <w:t>个</w:t>
      </w:r>
      <w:r>
        <w:rPr>
          <w:rFonts w:hint="eastAsia" w:ascii="仿宋_GB2312" w:eastAsia="仿宋_GB2312"/>
          <w:sz w:val="32"/>
          <w:szCs w:val="32"/>
          <w:lang w:eastAsia="zh-CN"/>
        </w:rPr>
        <w:t>（</w:t>
      </w:r>
      <w:r>
        <w:rPr>
          <w:rFonts w:ascii="仿宋_GB2312" w:eastAsia="仿宋_GB2312"/>
          <w:sz w:val="32"/>
          <w:szCs w:val="32"/>
          <w:lang w:eastAsia="zh-CN"/>
        </w:rPr>
        <w:t>面积占比</w:t>
      </w:r>
      <w:r>
        <w:rPr>
          <w:rFonts w:hint="eastAsia" w:ascii="仿宋_GB2312" w:eastAsia="仿宋_GB2312"/>
          <w:sz w:val="32"/>
          <w:szCs w:val="32"/>
          <w:lang w:eastAsia="zh-CN"/>
        </w:rPr>
        <w:t>35.10</w:t>
      </w:r>
      <w:r>
        <w:rPr>
          <w:rFonts w:ascii="仿宋_GB2312" w:eastAsia="仿宋_GB2312"/>
          <w:sz w:val="32"/>
          <w:szCs w:val="32"/>
          <w:lang w:eastAsia="zh-CN"/>
        </w:rPr>
        <w:t>%</w:t>
      </w:r>
      <w:r>
        <w:rPr>
          <w:rFonts w:hint="eastAsia" w:ascii="仿宋_GB2312" w:eastAsia="仿宋_GB2312"/>
          <w:sz w:val="32"/>
          <w:szCs w:val="32"/>
          <w:lang w:eastAsia="zh-CN"/>
        </w:rPr>
        <w:t>）</w:t>
      </w:r>
      <w:r>
        <w:rPr>
          <w:rFonts w:ascii="仿宋_GB2312" w:eastAsia="仿宋_GB2312"/>
          <w:sz w:val="32"/>
          <w:szCs w:val="32"/>
          <w:lang w:eastAsia="zh-CN"/>
        </w:rPr>
        <w:t>、重点管控单元</w:t>
      </w:r>
      <w:r>
        <w:rPr>
          <w:rFonts w:hint="eastAsia" w:ascii="仿宋_GB2312" w:eastAsia="仿宋_GB2312"/>
          <w:sz w:val="32"/>
          <w:szCs w:val="32"/>
          <w:lang w:eastAsia="zh-CN"/>
        </w:rPr>
        <w:t>73个（面积占比38.64%）</w:t>
      </w:r>
      <w:r>
        <w:rPr>
          <w:rFonts w:ascii="仿宋_GB2312" w:eastAsia="仿宋_GB2312"/>
          <w:sz w:val="32"/>
          <w:szCs w:val="32"/>
          <w:lang w:eastAsia="zh-CN"/>
        </w:rPr>
        <w:t>和一般管控单元</w:t>
      </w:r>
      <w:r>
        <w:rPr>
          <w:rFonts w:hint="eastAsia" w:ascii="仿宋_GB2312" w:eastAsia="仿宋_GB2312"/>
          <w:sz w:val="32"/>
          <w:szCs w:val="32"/>
          <w:lang w:eastAsia="zh-CN"/>
        </w:rPr>
        <w:t>9个（面积占比26.26%），不同管控</w:t>
      </w:r>
      <w:r>
        <w:rPr>
          <w:rFonts w:ascii="仿宋_GB2312" w:eastAsia="仿宋_GB2312"/>
          <w:sz w:val="32"/>
          <w:szCs w:val="32"/>
          <w:lang w:eastAsia="zh-CN"/>
        </w:rPr>
        <w:t>单元内开发建设活动实施差异化管理</w:t>
      </w:r>
      <w:r>
        <w:rPr>
          <w:rFonts w:hint="eastAsia" w:ascii="仿宋_GB2312" w:eastAsia="仿宋_GB2312"/>
          <w:sz w:val="32"/>
          <w:szCs w:val="32"/>
          <w:lang w:eastAsia="zh-CN"/>
        </w:rPr>
        <w:t>。</w:t>
      </w:r>
    </w:p>
    <w:p>
      <w:pPr>
        <w:pStyle w:val="4"/>
        <w:keepNext w:val="0"/>
        <w:keepLines w:val="0"/>
        <w:pageBreakBefore w:val="0"/>
        <w:kinsoku/>
        <w:wordWrap/>
        <w:overflowPunct/>
        <w:topLinePunct w:val="0"/>
        <w:autoSpaceDE/>
        <w:autoSpaceDN/>
        <w:bidi w:val="0"/>
        <w:adjustRightInd/>
        <w:snapToGrid/>
        <w:spacing w:before="0" w:line="240" w:lineRule="auto"/>
        <w:ind w:left="0"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二）精准编制生态环境准入清单。以环境管控单元为基础，从空间布局约束、污染物排放管控、环境风险管控防控、资源开发利用效率四个维度，建立“1+2+11+157”四个层级的生态环境准入清单。“1”为长春市总体环境准入及管控要求、“2”为“松花江流域”和“辽河流域”环境准入及管控要求、“11”为长春下辖11个区县环境准入及管控要求、“157”为各环境管控单元环境准入及管控要求。根据生态环境功能定位，聚焦解决突出生态环境问题，系统集成生态环境管理要求，精准编制差异化生态环境准入清单，提出优化布局方案、管控污染物排放、防控环境风险、提高资源能源利用效率等要求。优先保护单元要加强生态系统保护和功能维护，重点管控单元要针对突出生态环境问题强化污染物排放管控和环境风险防控，其他区域要保持生态环境质量基本稳定。</w:t>
      </w:r>
    </w:p>
    <w:p>
      <w:pPr>
        <w:pStyle w:val="4"/>
        <w:keepNext w:val="0"/>
        <w:keepLines w:val="0"/>
        <w:pageBreakBefore w:val="0"/>
        <w:kinsoku/>
        <w:wordWrap/>
        <w:overflowPunct/>
        <w:topLinePunct w:val="0"/>
        <w:autoSpaceDE/>
        <w:autoSpaceDN/>
        <w:bidi w:val="0"/>
        <w:adjustRightInd/>
        <w:snapToGrid/>
        <w:spacing w:before="0" w:line="240" w:lineRule="auto"/>
        <w:ind w:left="0" w:firstLine="640" w:firstLineChars="200"/>
        <w:contextualSpacing/>
        <w:jc w:val="both"/>
        <w:textAlignment w:val="auto"/>
        <w:rPr>
          <w:rFonts w:ascii="黑体" w:hAnsi="黑体" w:eastAsia="黑体" w:cs="黑体"/>
          <w:sz w:val="32"/>
          <w:szCs w:val="32"/>
          <w:lang w:eastAsia="zh-CN"/>
        </w:rPr>
      </w:pPr>
      <w:r>
        <w:rPr>
          <w:rFonts w:hint="eastAsia" w:ascii="黑体" w:hAnsi="黑体" w:eastAsia="黑体" w:cs="黑体"/>
          <w:sz w:val="32"/>
          <w:szCs w:val="32"/>
          <w:lang w:eastAsia="zh-CN"/>
        </w:rPr>
        <w:t>二、提高生态环境保护水平</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lang w:eastAsia="zh-CN"/>
        </w:rPr>
      </w:pPr>
      <w:r>
        <w:rPr>
          <w:rFonts w:hint="eastAsia" w:ascii="仿宋_GB2312" w:eastAsia="仿宋_GB2312"/>
          <w:sz w:val="32"/>
          <w:szCs w:val="32"/>
          <w:lang w:eastAsia="zh-CN"/>
        </w:rPr>
        <w:t>（一）强化生态安全。严格落实生态保护红线管控要求，筑牢以西部防风固沙林带、东部大黑山山脉生态保护带和北部松花江河廊保育林带支撑的生态安全屏障。以生态保护红线为重点，改善生态系统质量，提升生态系统稳定性和服务功能。强化生物多样性保护，健全生物多样性保护网络。</w:t>
      </w:r>
    </w:p>
    <w:p>
      <w:pPr>
        <w:pStyle w:val="4"/>
        <w:keepNext w:val="0"/>
        <w:keepLines w:val="0"/>
        <w:pageBreakBefore w:val="0"/>
        <w:kinsoku/>
        <w:wordWrap/>
        <w:overflowPunct/>
        <w:topLinePunct w:val="0"/>
        <w:autoSpaceDE/>
        <w:autoSpaceDN/>
        <w:bidi w:val="0"/>
        <w:adjustRightInd/>
        <w:snapToGrid/>
        <w:spacing w:before="0" w:line="240" w:lineRule="auto"/>
        <w:ind w:left="0"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（二）强化分区施策。</w:t>
      </w:r>
      <w:r>
        <w:rPr>
          <w:rFonts w:ascii="仿宋_GB2312" w:eastAsia="仿宋_GB2312"/>
          <w:sz w:val="32"/>
          <w:szCs w:val="32"/>
          <w:lang w:eastAsia="zh-CN"/>
        </w:rPr>
        <w:t>县（市）区人民政府、开发区管委会和市直相关部门</w:t>
      </w:r>
      <w:r>
        <w:rPr>
          <w:rFonts w:hint="eastAsia" w:ascii="仿宋_GB2312" w:eastAsia="仿宋_GB2312"/>
          <w:sz w:val="32"/>
          <w:szCs w:val="32"/>
          <w:lang w:eastAsia="zh-CN"/>
        </w:rPr>
        <w:t>应当以生态环境分区管控成果确定的分区域、分阶段环境质量底线目标作为基本要求，合理制定环境保护规划和环境质量达标方案，强化生态环境分区管控应用，形成问题识别、精准溯源、分区施策的工作闭环，推动解决突出生态环境问题，防范结构性、布局性环境风险，逐步实现区域生态环境质量目标。要强化生态环境分区管控在大气、水、土壤、生态等生态环境要素管理中的应用，为深入打好污染防治攻坚战提供有力支撑。</w:t>
      </w:r>
    </w:p>
    <w:p>
      <w:pPr>
        <w:pStyle w:val="4"/>
        <w:keepNext w:val="0"/>
        <w:keepLines w:val="0"/>
        <w:pageBreakBefore w:val="0"/>
        <w:kinsoku/>
        <w:wordWrap/>
        <w:overflowPunct/>
        <w:topLinePunct w:val="0"/>
        <w:autoSpaceDE/>
        <w:autoSpaceDN/>
        <w:bidi w:val="0"/>
        <w:adjustRightInd/>
        <w:snapToGrid/>
        <w:spacing w:before="0" w:line="240" w:lineRule="auto"/>
        <w:ind w:left="0"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（三）强化政策协同。</w:t>
      </w:r>
      <w:r>
        <w:rPr>
          <w:rFonts w:ascii="仿宋_GB2312" w:eastAsia="仿宋_GB2312"/>
          <w:sz w:val="32"/>
          <w:szCs w:val="32"/>
          <w:lang w:eastAsia="zh-CN"/>
        </w:rPr>
        <w:t>县（市）区人民政府、开发区管委会和市直相关部门</w:t>
      </w:r>
      <w:r>
        <w:rPr>
          <w:rFonts w:hint="eastAsia" w:ascii="仿宋_GB2312" w:eastAsia="仿宋_GB2312"/>
          <w:sz w:val="32"/>
          <w:szCs w:val="32"/>
          <w:lang w:eastAsia="zh-CN"/>
        </w:rPr>
        <w:t>应强化生态环境保护相关政策与生态环境分区管控制度的协同，将生态环境分区管控要求纳入相关立法、标准、政策等制定修订中，作为城镇建设、资源开发、重大项目选址、执法监管等方面的重要参照和依据，加强生态环境分区管控与环境影响评价、排污许可、环境监测、执法监管等协调联动，构建市域全链条生态环境管理体系。</w:t>
      </w:r>
    </w:p>
    <w:p>
      <w:pPr>
        <w:pStyle w:val="4"/>
        <w:keepNext w:val="0"/>
        <w:keepLines w:val="0"/>
        <w:pageBreakBefore w:val="0"/>
        <w:kinsoku/>
        <w:wordWrap/>
        <w:overflowPunct/>
        <w:topLinePunct w:val="0"/>
        <w:autoSpaceDE/>
        <w:autoSpaceDN/>
        <w:bidi w:val="0"/>
        <w:adjustRightInd/>
        <w:snapToGrid/>
        <w:spacing w:before="0" w:line="240" w:lineRule="auto"/>
        <w:ind w:left="0"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（四）强化成果应用。</w:t>
      </w:r>
      <w:r>
        <w:rPr>
          <w:rFonts w:ascii="仿宋_GB2312" w:eastAsia="仿宋_GB2312"/>
          <w:sz w:val="32"/>
          <w:szCs w:val="32"/>
          <w:lang w:eastAsia="zh-CN"/>
        </w:rPr>
        <w:t>县（市）区人民政府、开发区管委会和市直相关部门</w:t>
      </w:r>
      <w:r>
        <w:rPr>
          <w:rFonts w:hint="eastAsia" w:ascii="仿宋_GB2312" w:eastAsia="仿宋_GB2312"/>
          <w:sz w:val="32"/>
          <w:szCs w:val="32"/>
          <w:lang w:eastAsia="zh-CN"/>
        </w:rPr>
        <w:t>应加强生态环境分区管控成果应用，作为招商引资提供科学决策依据，以生态环境准入清单为抓手，推动项目精准快速落地。把生态环境分区管控实施成效评估作为优化环境影响评价管理的重要依据，建立生态环境分区管控、规划环评、建设项目环评协调联动机制。加强生态分区管控对企业投资的引导，不断完善生态分区管控信息化平台公众端和移动端服务功能，提升对综合决策的支撑能力。</w:t>
      </w:r>
    </w:p>
    <w:p>
      <w:pPr>
        <w:pStyle w:val="4"/>
        <w:keepNext w:val="0"/>
        <w:keepLines w:val="0"/>
        <w:pageBreakBefore w:val="0"/>
        <w:kinsoku/>
        <w:wordWrap/>
        <w:overflowPunct/>
        <w:topLinePunct w:val="0"/>
        <w:autoSpaceDE/>
        <w:autoSpaceDN/>
        <w:bidi w:val="0"/>
        <w:adjustRightInd/>
        <w:snapToGrid/>
        <w:spacing w:before="0" w:line="240" w:lineRule="auto"/>
        <w:ind w:left="0" w:firstLine="640" w:firstLineChars="200"/>
        <w:contextualSpacing/>
        <w:jc w:val="both"/>
        <w:textAlignment w:val="auto"/>
        <w:rPr>
          <w:rFonts w:ascii="黑体" w:hAnsi="黑体" w:eastAsia="黑体" w:cs="黑体"/>
          <w:sz w:val="32"/>
          <w:szCs w:val="32"/>
          <w:lang w:eastAsia="zh-CN"/>
        </w:rPr>
      </w:pPr>
      <w:r>
        <w:rPr>
          <w:rFonts w:hint="eastAsia" w:ascii="黑体" w:hAnsi="黑体" w:eastAsia="黑体" w:cs="黑体"/>
          <w:sz w:val="32"/>
          <w:szCs w:val="32"/>
          <w:lang w:eastAsia="zh-CN"/>
        </w:rPr>
        <w:t>三、健全管理机制</w:t>
      </w:r>
    </w:p>
    <w:p>
      <w:pPr>
        <w:pStyle w:val="4"/>
        <w:keepNext w:val="0"/>
        <w:keepLines w:val="0"/>
        <w:pageBreakBefore w:val="0"/>
        <w:kinsoku/>
        <w:wordWrap/>
        <w:overflowPunct/>
        <w:topLinePunct w:val="0"/>
        <w:autoSpaceDE/>
        <w:autoSpaceDN/>
        <w:bidi w:val="0"/>
        <w:adjustRightInd/>
        <w:snapToGrid/>
        <w:spacing w:before="0" w:line="240" w:lineRule="auto"/>
        <w:ind w:left="0" w:firstLine="640" w:firstLineChars="200"/>
        <w:contextualSpacing/>
        <w:jc w:val="both"/>
        <w:textAlignment w:val="auto"/>
        <w:rPr>
          <w:rFonts w:ascii="仿宋_GB2312" w:eastAsia="仿宋_GB2312"/>
          <w:color w:val="FF0000"/>
          <w:sz w:val="32"/>
          <w:szCs w:val="32"/>
          <w:lang w:eastAsia="zh-CN"/>
        </w:rPr>
      </w:pPr>
      <w:r>
        <w:rPr>
          <w:rFonts w:hint="eastAsia" w:ascii="仿宋_GB2312" w:eastAsia="仿宋_GB2312"/>
          <w:sz w:val="32"/>
          <w:szCs w:val="32"/>
          <w:lang w:eastAsia="zh-CN"/>
        </w:rPr>
        <w:t>（一）强化信息共享。长春市生态环境局牵头完善全市生态环境分区管控方案，将信息平台作为数据管理、调整更新、实施应用、跟踪评估和监督管理的基础支撑，坚持数字赋能，对成果落图固化并动态管理。推进与相关系统和平台的互联互通，纵向贯通衔接吉林省和长春市环评审批、环境质量监测、环境执法等业务系统，横向对接发展改革、自然资源等部门政务和基础信息平台，实现业务协同。</w:t>
      </w:r>
    </w:p>
    <w:p>
      <w:pPr>
        <w:pStyle w:val="4"/>
        <w:keepNext w:val="0"/>
        <w:keepLines w:val="0"/>
        <w:pageBreakBefore w:val="0"/>
        <w:kinsoku/>
        <w:wordWrap/>
        <w:overflowPunct/>
        <w:topLinePunct w:val="0"/>
        <w:autoSpaceDE/>
        <w:autoSpaceDN/>
        <w:bidi w:val="0"/>
        <w:adjustRightInd/>
        <w:snapToGrid/>
        <w:spacing w:before="0" w:line="240" w:lineRule="auto"/>
        <w:ind w:left="0"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（二）强化动态更新。按照吉林省</w:t>
      </w:r>
      <w:r>
        <w:rPr>
          <w:rFonts w:ascii="仿宋_GB2312" w:eastAsia="仿宋_GB2312"/>
          <w:sz w:val="32"/>
          <w:szCs w:val="32"/>
          <w:lang w:eastAsia="zh-CN"/>
        </w:rPr>
        <w:t>区域空间生态环境评价工作协调小组</w:t>
      </w:r>
      <w:r>
        <w:rPr>
          <w:rFonts w:hint="eastAsia" w:ascii="仿宋_GB2312" w:eastAsia="仿宋_GB2312"/>
          <w:sz w:val="32"/>
          <w:szCs w:val="32"/>
          <w:lang w:eastAsia="zh-CN"/>
        </w:rPr>
        <w:t>，市生态环境局原则上每5年组织开展一次全市生态环境分区管控实施成效评估，充分听取</w:t>
      </w:r>
      <w:r>
        <w:rPr>
          <w:rFonts w:ascii="仿宋_GB2312" w:eastAsia="仿宋_GB2312"/>
          <w:sz w:val="32"/>
          <w:szCs w:val="32"/>
          <w:lang w:eastAsia="zh-CN"/>
        </w:rPr>
        <w:t>县（市）区人民政府、开发区管委会和市直相关部门</w:t>
      </w:r>
      <w:r>
        <w:rPr>
          <w:rFonts w:hint="eastAsia" w:ascii="仿宋_GB2312" w:eastAsia="仿宋_GB2312"/>
          <w:sz w:val="32"/>
          <w:szCs w:val="32"/>
          <w:lang w:eastAsia="zh-CN"/>
        </w:rPr>
        <w:t>意见，依据评估情况更新调整方案，按规定报批后调整。因国家与地方发展战略、生态环境质量目标、国土空间规划、自然保护地等发生重大变化的，及时组织对全市生态环境分区管控内容进行科学论证并进行相应调整。</w:t>
      </w:r>
      <w:r>
        <w:rPr>
          <w:rFonts w:ascii="仿宋_GB2312" w:eastAsia="仿宋_GB2312"/>
          <w:sz w:val="32"/>
          <w:szCs w:val="32"/>
          <w:lang w:eastAsia="zh-CN"/>
        </w:rPr>
        <w:t>县（市）区人民政府、开发区管委会</w:t>
      </w:r>
      <w:r>
        <w:rPr>
          <w:rFonts w:hint="eastAsia" w:ascii="仿宋_GB2312" w:eastAsia="仿宋_GB2312"/>
          <w:sz w:val="32"/>
          <w:szCs w:val="32"/>
          <w:lang w:eastAsia="zh-CN"/>
        </w:rPr>
        <w:t>根据本行政区域内生态环境分区管控方案，细化和完善具体环境管控单元生态环境准入清单，原则上不能突破市级生态环境准入清单要求，经本级政府批准后，报上级生态环境部门备案后实施。</w:t>
      </w:r>
    </w:p>
    <w:p>
      <w:pPr>
        <w:pStyle w:val="4"/>
        <w:keepNext w:val="0"/>
        <w:keepLines w:val="0"/>
        <w:pageBreakBefore w:val="0"/>
        <w:kinsoku/>
        <w:wordWrap/>
        <w:overflowPunct/>
        <w:topLinePunct w:val="0"/>
        <w:autoSpaceDE/>
        <w:autoSpaceDN/>
        <w:bidi w:val="0"/>
        <w:adjustRightInd/>
        <w:snapToGrid/>
        <w:spacing w:before="0" w:line="240" w:lineRule="auto"/>
        <w:ind w:left="0"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三）强化执法监管。生态环境保护综合行政执法机构或者其他负有生态环境保护职责的部门，要将生态环境分区管控体系作为监督开发建设行为和生产活动的重要依据，将优先保护单元和重点管控单元作为生态环境监管的重点区域，将生态环境分区管控要求执行情况作为生态环境监管的重点内容。</w:t>
      </w:r>
    </w:p>
    <w:p>
      <w:pPr>
        <w:pStyle w:val="4"/>
        <w:keepNext w:val="0"/>
        <w:keepLines w:val="0"/>
        <w:pageBreakBefore w:val="0"/>
        <w:kinsoku/>
        <w:wordWrap/>
        <w:overflowPunct/>
        <w:topLinePunct w:val="0"/>
        <w:autoSpaceDE/>
        <w:autoSpaceDN/>
        <w:bidi w:val="0"/>
        <w:adjustRightInd/>
        <w:snapToGrid/>
        <w:spacing w:before="0" w:line="240" w:lineRule="auto"/>
        <w:ind w:left="0" w:firstLine="640" w:firstLineChars="200"/>
        <w:contextualSpacing/>
        <w:jc w:val="both"/>
        <w:textAlignment w:val="auto"/>
        <w:rPr>
          <w:rFonts w:ascii="黑体" w:hAnsi="黑体" w:eastAsia="黑体" w:cs="黑体"/>
          <w:sz w:val="32"/>
          <w:szCs w:val="32"/>
          <w:lang w:eastAsia="zh-CN"/>
        </w:rPr>
      </w:pPr>
      <w:r>
        <w:rPr>
          <w:rFonts w:hint="eastAsia" w:ascii="黑体" w:hAnsi="黑体" w:eastAsia="黑体" w:cs="黑体"/>
          <w:sz w:val="32"/>
          <w:szCs w:val="32"/>
          <w:lang w:eastAsia="zh-CN"/>
        </w:rPr>
        <w:t>四、加强组织保障</w:t>
      </w:r>
    </w:p>
    <w:p>
      <w:pPr>
        <w:pStyle w:val="4"/>
        <w:keepNext w:val="0"/>
        <w:keepLines w:val="0"/>
        <w:pageBreakBefore w:val="0"/>
        <w:kinsoku/>
        <w:wordWrap/>
        <w:overflowPunct/>
        <w:topLinePunct w:val="0"/>
        <w:autoSpaceDE/>
        <w:autoSpaceDN/>
        <w:bidi w:val="0"/>
        <w:adjustRightInd/>
        <w:snapToGrid/>
        <w:spacing w:before="0" w:line="240" w:lineRule="auto"/>
        <w:ind w:left="0"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坚持党对生态环境分区管控工作的全面领导。各</w:t>
      </w:r>
      <w:r>
        <w:rPr>
          <w:rFonts w:ascii="仿宋_GB2312" w:eastAsia="仿宋_GB2312"/>
          <w:sz w:val="32"/>
          <w:szCs w:val="32"/>
          <w:lang w:eastAsia="zh-CN"/>
        </w:rPr>
        <w:t>县（市）区</w:t>
      </w:r>
      <w:r>
        <w:rPr>
          <w:rFonts w:hint="eastAsia" w:ascii="仿宋_GB2312" w:eastAsia="仿宋_GB2312"/>
          <w:sz w:val="32"/>
          <w:szCs w:val="32"/>
          <w:lang w:eastAsia="zh-CN"/>
        </w:rPr>
        <w:t>党委和</w:t>
      </w:r>
      <w:r>
        <w:rPr>
          <w:rFonts w:ascii="仿宋_GB2312" w:eastAsia="仿宋_GB2312"/>
          <w:sz w:val="32"/>
          <w:szCs w:val="32"/>
          <w:lang w:eastAsia="zh-CN"/>
        </w:rPr>
        <w:t>政府</w:t>
      </w:r>
      <w:r>
        <w:rPr>
          <w:rFonts w:hint="eastAsia" w:ascii="仿宋_GB2312" w:eastAsia="仿宋_GB2312"/>
          <w:sz w:val="32"/>
          <w:szCs w:val="32"/>
          <w:lang w:eastAsia="zh-CN"/>
        </w:rPr>
        <w:t>要严格落实生态环境保护“党政同责、一岗双责”，完善工作推进机制，定期研究生态环境分区管控工作，落实主体责任。要强化部门联动，形成工作合力，生态环境、发展改革、自然资源、水利、林业和草原等有关部门要根据职责分工，共同推进生态环境分区管控成果实施，加强本领域相关工作与生态环境分区管控协调联动。</w:t>
      </w:r>
    </w:p>
    <w:p>
      <w:pPr>
        <w:pStyle w:val="4"/>
        <w:keepNext w:val="0"/>
        <w:keepLines w:val="0"/>
        <w:pageBreakBefore w:val="0"/>
        <w:kinsoku/>
        <w:wordWrap/>
        <w:overflowPunct/>
        <w:topLinePunct w:val="0"/>
        <w:autoSpaceDE/>
        <w:autoSpaceDN/>
        <w:bidi w:val="0"/>
        <w:adjustRightInd/>
        <w:snapToGrid/>
        <w:spacing w:before="0" w:line="240" w:lineRule="auto"/>
        <w:ind w:left="0" w:firstLine="640" w:firstLineChars="200"/>
        <w:contextualSpacing/>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长春市生态环境局牵头组织生态环境分区管控方案的实施、监督、评估和宣传工作，会同有关部门制定完善生态环境分区管控相关政策，适时发布长春市生态环境准入清单。建立健全生态环境分区管控实施成效评估和监督考核机制，定期跟踪评估实施成效，将生态环境分区管控实施情况纳入污染防治攻坚战成效考核，考核结果作为领导班子和有关领导干部综合考核评价、奖惩任免的重要参考。加强生态环境分区管控领域相关学科建设、科学研究和人才培养，加快建立专业化队伍。</w:t>
      </w:r>
      <w:bookmarkEnd w:id="0"/>
    </w:p>
    <w:p>
      <w:pPr>
        <w:pStyle w:val="4"/>
        <w:keepNext w:val="0"/>
        <w:keepLines w:val="0"/>
        <w:pageBreakBefore w:val="0"/>
        <w:kinsoku/>
        <w:wordWrap/>
        <w:overflowPunct/>
        <w:topLinePunct w:val="0"/>
        <w:autoSpaceDE/>
        <w:autoSpaceDN/>
        <w:bidi w:val="0"/>
        <w:adjustRightInd/>
        <w:snapToGrid/>
        <w:spacing w:before="0" w:line="240" w:lineRule="auto"/>
        <w:ind w:left="0" w:firstLine="640" w:firstLineChars="200"/>
        <w:contextualSpacing/>
        <w:jc w:val="both"/>
        <w:textAlignment w:val="auto"/>
        <w:rPr>
          <w:rFonts w:hint="eastAsia" w:ascii="仿宋_GB2312" w:eastAsia="仿宋_GB2312"/>
          <w:sz w:val="32"/>
          <w:szCs w:val="32"/>
          <w:lang w:eastAsia="zh-CN"/>
        </w:rPr>
      </w:pPr>
    </w:p>
    <w:p>
      <w:pPr>
        <w:pStyle w:val="4"/>
        <w:keepNext w:val="0"/>
        <w:keepLines w:val="0"/>
        <w:pageBreakBefore w:val="0"/>
        <w:kinsoku/>
        <w:wordWrap/>
        <w:overflowPunct/>
        <w:topLinePunct w:val="0"/>
        <w:autoSpaceDE/>
        <w:autoSpaceDN/>
        <w:bidi w:val="0"/>
        <w:adjustRightInd/>
        <w:snapToGrid/>
        <w:spacing w:line="240" w:lineRule="auto"/>
        <w:ind w:firstLine="648" w:firstLineChars="200"/>
        <w:contextualSpacing/>
        <w:textAlignment w:val="auto"/>
        <w:rPr>
          <w:rFonts w:ascii="仿宋_GB2312" w:eastAsia="仿宋_GB2312"/>
          <w:spacing w:val="2"/>
          <w:sz w:val="32"/>
          <w:szCs w:val="32"/>
        </w:rPr>
      </w:pPr>
      <w:r>
        <w:rPr>
          <w:rFonts w:ascii="仿宋_GB2312" w:eastAsia="仿宋_GB2312"/>
          <w:spacing w:val="2"/>
          <w:sz w:val="32"/>
          <w:szCs w:val="32"/>
        </w:rPr>
        <w:t>附</w:t>
      </w:r>
      <w:r>
        <w:rPr>
          <w:rFonts w:hint="eastAsia" w:ascii="仿宋_GB2312" w:eastAsia="仿宋_GB2312"/>
          <w:spacing w:val="2"/>
          <w:sz w:val="32"/>
          <w:szCs w:val="32"/>
        </w:rPr>
        <w:t>件</w:t>
      </w:r>
      <w:r>
        <w:rPr>
          <w:rFonts w:ascii="仿宋_GB2312" w:eastAsia="仿宋_GB2312"/>
          <w:spacing w:val="2"/>
          <w:sz w:val="32"/>
          <w:szCs w:val="32"/>
        </w:rPr>
        <w:t>：1.</w:t>
      </w:r>
      <w:r>
        <w:rPr>
          <w:rFonts w:hint="eastAsia" w:ascii="仿宋_GB2312" w:eastAsia="仿宋_GB2312"/>
          <w:spacing w:val="2"/>
          <w:sz w:val="32"/>
          <w:szCs w:val="32"/>
          <w:lang w:val="en-US" w:eastAsia="zh-CN"/>
        </w:rPr>
        <w:t>长春市</w:t>
      </w:r>
      <w:r>
        <w:rPr>
          <w:rFonts w:ascii="仿宋_GB2312" w:eastAsia="仿宋_GB2312"/>
          <w:spacing w:val="2"/>
          <w:sz w:val="32"/>
          <w:szCs w:val="32"/>
        </w:rPr>
        <w:t>环境管控单元划定</w:t>
      </w:r>
      <w:r>
        <w:rPr>
          <w:rFonts w:hint="eastAsia" w:ascii="仿宋_GB2312" w:eastAsia="仿宋_GB2312"/>
          <w:spacing w:val="2"/>
          <w:sz w:val="32"/>
          <w:szCs w:val="32"/>
        </w:rPr>
        <w:t>情况</w:t>
      </w:r>
      <w:r>
        <w:rPr>
          <w:rFonts w:ascii="仿宋_GB2312" w:eastAsia="仿宋_GB2312"/>
          <w:spacing w:val="2"/>
          <w:sz w:val="32"/>
          <w:szCs w:val="32"/>
        </w:rPr>
        <w:t>一览表</w:t>
      </w:r>
    </w:p>
    <w:p>
      <w:pPr>
        <w:pStyle w:val="4"/>
        <w:keepNext w:val="0"/>
        <w:keepLines w:val="0"/>
        <w:pageBreakBefore w:val="0"/>
        <w:kinsoku/>
        <w:wordWrap/>
        <w:overflowPunct/>
        <w:topLinePunct w:val="0"/>
        <w:autoSpaceDE/>
        <w:autoSpaceDN/>
        <w:bidi w:val="0"/>
        <w:adjustRightInd/>
        <w:snapToGrid/>
        <w:spacing w:before="0" w:line="240" w:lineRule="auto"/>
        <w:ind w:firstLine="1620" w:firstLineChars="500"/>
        <w:contextualSpacing/>
        <w:jc w:val="both"/>
        <w:textAlignment w:val="auto"/>
        <w:rPr>
          <w:rFonts w:hint="eastAsia" w:ascii="仿宋_GB2312" w:eastAsia="仿宋_GB2312"/>
          <w:sz w:val="32"/>
          <w:szCs w:val="32"/>
          <w:lang w:eastAsia="zh-CN"/>
        </w:rPr>
      </w:pPr>
      <w:r>
        <w:rPr>
          <w:rFonts w:ascii="仿宋_GB2312" w:eastAsia="仿宋_GB2312"/>
          <w:spacing w:val="2"/>
          <w:sz w:val="32"/>
          <w:szCs w:val="32"/>
        </w:rPr>
        <w:t>2.</w:t>
      </w:r>
      <w:r>
        <w:rPr>
          <w:rFonts w:hint="eastAsia" w:ascii="仿宋_GB2312" w:eastAsia="仿宋_GB2312"/>
          <w:spacing w:val="2"/>
          <w:sz w:val="32"/>
          <w:szCs w:val="32"/>
          <w:lang w:val="en-US" w:eastAsia="zh-CN"/>
        </w:rPr>
        <w:t>长</w:t>
      </w:r>
      <w:r>
        <w:rPr>
          <w:rFonts w:hint="eastAsia" w:ascii="仿宋_GB2312" w:eastAsia="仿宋_GB2312"/>
          <w:sz w:val="32"/>
          <w:szCs w:val="32"/>
          <w:lang w:val="en-US" w:eastAsia="zh-CN"/>
        </w:rPr>
        <w:t>春市</w:t>
      </w:r>
      <w:r>
        <w:rPr>
          <w:rFonts w:hint="eastAsia" w:ascii="仿宋_GB2312" w:eastAsia="仿宋_GB2312"/>
          <w:sz w:val="32"/>
          <w:szCs w:val="32"/>
          <w:lang w:eastAsia="zh-CN"/>
        </w:rPr>
        <w:t>生态环境准入清单</w:t>
      </w:r>
    </w:p>
    <w:p>
      <w:pPr>
        <w:pStyle w:val="4"/>
        <w:keepNext w:val="0"/>
        <w:keepLines w:val="0"/>
        <w:pageBreakBefore w:val="0"/>
        <w:kinsoku/>
        <w:wordWrap/>
        <w:overflowPunct/>
        <w:topLinePunct w:val="0"/>
        <w:autoSpaceDE/>
        <w:autoSpaceDN/>
        <w:bidi w:val="0"/>
        <w:adjustRightInd/>
        <w:snapToGrid/>
        <w:spacing w:before="0" w:line="240" w:lineRule="auto"/>
        <w:ind w:firstLine="1600" w:firstLineChars="500"/>
        <w:contextualSpacing/>
        <w:jc w:val="both"/>
        <w:textAlignment w:val="auto"/>
        <w:rPr>
          <w:rFonts w:ascii="仿宋_GB2312" w:eastAsia="仿宋_GB2312"/>
          <w:color w:val="FF0000"/>
          <w:sz w:val="32"/>
          <w:szCs w:val="32"/>
          <w:lang w:eastAsia="zh-CN"/>
        </w:rPr>
      </w:pPr>
      <w:r>
        <w:rPr>
          <w:rFonts w:hint="eastAsia" w:ascii="仿宋_GB2312" w:eastAsia="仿宋_GB2312"/>
          <w:sz w:val="32"/>
          <w:szCs w:val="32"/>
          <w:lang w:eastAsia="zh-CN"/>
        </w:rPr>
        <w:t>3.</w:t>
      </w:r>
      <w:r>
        <w:rPr>
          <w:rFonts w:hint="eastAsia" w:ascii="仿宋_GB2312" w:eastAsia="仿宋_GB2312"/>
          <w:sz w:val="32"/>
          <w:szCs w:val="32"/>
          <w:lang w:val="en-US" w:eastAsia="zh-CN"/>
        </w:rPr>
        <w:t>长春市</w:t>
      </w:r>
      <w:r>
        <w:rPr>
          <w:rFonts w:hint="eastAsia" w:ascii="仿宋_GB2312" w:eastAsia="仿宋_GB2312"/>
          <w:sz w:val="32"/>
          <w:szCs w:val="32"/>
          <w:lang w:eastAsia="zh-CN"/>
        </w:rPr>
        <w:t>环境管</w:t>
      </w:r>
      <w:bookmarkStart w:id="1" w:name="_GoBack"/>
      <w:bookmarkEnd w:id="1"/>
      <w:r>
        <w:rPr>
          <w:rFonts w:ascii="仿宋_GB2312" w:eastAsia="仿宋_GB2312"/>
          <w:spacing w:val="2"/>
          <w:sz w:val="32"/>
          <w:szCs w:val="32"/>
        </w:rPr>
        <w:t>控单元分布图</w:t>
      </w:r>
    </w:p>
    <w:p>
      <w:pPr>
        <w:pStyle w:val="4"/>
        <w:spacing w:before="0" w:line="360" w:lineRule="auto"/>
        <w:ind w:left="0" w:firstLine="640" w:firstLineChars="200"/>
        <w:contextualSpacing/>
        <w:jc w:val="both"/>
        <w:rPr>
          <w:rFonts w:ascii="仿宋_GB2312" w:eastAsia="仿宋_GB2312"/>
          <w:color w:val="FF0000"/>
          <w:sz w:val="32"/>
          <w:szCs w:val="32"/>
          <w:lang w:eastAsia="zh-CN"/>
        </w:rPr>
      </w:pPr>
    </w:p>
    <w:p>
      <w:pPr>
        <w:pStyle w:val="4"/>
        <w:spacing w:before="0" w:line="360" w:lineRule="auto"/>
        <w:ind w:left="0" w:firstLine="640" w:firstLineChars="200"/>
        <w:contextualSpacing/>
        <w:jc w:val="both"/>
        <w:rPr>
          <w:rFonts w:ascii="仿宋_GB2312" w:eastAsia="仿宋_GB2312"/>
          <w:color w:val="FF0000"/>
          <w:sz w:val="32"/>
          <w:szCs w:val="32"/>
          <w:lang w:eastAsia="zh-CN"/>
        </w:rPr>
      </w:pPr>
    </w:p>
    <w:p>
      <w:pPr>
        <w:pStyle w:val="4"/>
        <w:spacing w:before="0" w:line="360" w:lineRule="auto"/>
        <w:ind w:left="0" w:firstLine="640" w:firstLineChars="200"/>
        <w:contextualSpacing/>
        <w:jc w:val="both"/>
        <w:rPr>
          <w:rFonts w:ascii="仿宋_GB2312" w:eastAsia="仿宋_GB2312"/>
          <w:color w:val="FF0000"/>
          <w:sz w:val="32"/>
          <w:szCs w:val="32"/>
          <w:lang w:eastAsia="zh-CN"/>
        </w:rPr>
      </w:pPr>
    </w:p>
    <w:p>
      <w:pPr>
        <w:pStyle w:val="4"/>
        <w:spacing w:before="0" w:line="360" w:lineRule="auto"/>
        <w:ind w:left="0" w:firstLine="640" w:firstLineChars="200"/>
        <w:contextualSpacing/>
        <w:jc w:val="both"/>
        <w:rPr>
          <w:rFonts w:ascii="仿宋_GB2312" w:eastAsia="仿宋_GB2312"/>
          <w:color w:val="FF0000"/>
          <w:sz w:val="32"/>
          <w:szCs w:val="32"/>
          <w:lang w:eastAsia="zh-CN"/>
        </w:rPr>
      </w:pPr>
    </w:p>
    <w:p>
      <w:pPr>
        <w:pStyle w:val="4"/>
        <w:spacing w:before="0" w:line="360" w:lineRule="auto"/>
        <w:ind w:left="0" w:firstLine="640" w:firstLineChars="200"/>
        <w:contextualSpacing/>
        <w:jc w:val="both"/>
        <w:rPr>
          <w:rFonts w:ascii="仿宋_GB2312" w:eastAsia="仿宋_GB2312"/>
          <w:color w:val="FF0000"/>
          <w:sz w:val="32"/>
          <w:szCs w:val="32"/>
          <w:lang w:eastAsia="zh-CN"/>
        </w:rPr>
      </w:pPr>
    </w:p>
    <w:p>
      <w:pPr>
        <w:pStyle w:val="4"/>
        <w:spacing w:before="0" w:line="360" w:lineRule="auto"/>
        <w:ind w:left="0" w:firstLine="640" w:firstLineChars="200"/>
        <w:contextualSpacing/>
        <w:jc w:val="both"/>
        <w:rPr>
          <w:rFonts w:ascii="仿宋_GB2312" w:eastAsia="仿宋_GB2312"/>
          <w:color w:val="FF0000"/>
          <w:sz w:val="32"/>
          <w:szCs w:val="32"/>
          <w:lang w:eastAsia="zh-CN"/>
        </w:rPr>
      </w:pPr>
    </w:p>
    <w:p>
      <w:pPr>
        <w:pStyle w:val="4"/>
        <w:spacing w:before="0" w:line="360" w:lineRule="auto"/>
        <w:ind w:left="0" w:firstLine="640" w:firstLineChars="200"/>
        <w:contextualSpacing/>
        <w:jc w:val="both"/>
        <w:rPr>
          <w:rFonts w:ascii="仿宋_GB2312" w:eastAsia="仿宋_GB2312"/>
          <w:color w:val="FF0000"/>
          <w:sz w:val="32"/>
          <w:szCs w:val="32"/>
          <w:lang w:eastAsia="zh-CN"/>
        </w:rPr>
      </w:pPr>
    </w:p>
    <w:p>
      <w:pPr>
        <w:pStyle w:val="4"/>
        <w:spacing w:before="0" w:line="360" w:lineRule="auto"/>
        <w:ind w:left="0" w:firstLine="640" w:firstLineChars="200"/>
        <w:contextualSpacing/>
        <w:jc w:val="both"/>
        <w:rPr>
          <w:rFonts w:ascii="仿宋_GB2312" w:eastAsia="仿宋_GB2312"/>
          <w:color w:val="FF0000"/>
          <w:sz w:val="32"/>
          <w:szCs w:val="32"/>
          <w:lang w:eastAsia="zh-CN"/>
        </w:rPr>
      </w:pPr>
    </w:p>
    <w:p>
      <w:pPr>
        <w:pStyle w:val="4"/>
        <w:spacing w:before="0" w:line="360" w:lineRule="auto"/>
        <w:ind w:left="0" w:firstLine="640" w:firstLineChars="200"/>
        <w:contextualSpacing/>
        <w:jc w:val="both"/>
        <w:rPr>
          <w:rFonts w:ascii="仿宋_GB2312" w:eastAsia="仿宋_GB2312"/>
          <w:color w:val="FF0000"/>
          <w:sz w:val="32"/>
          <w:szCs w:val="32"/>
          <w:lang w:eastAsia="zh-CN"/>
        </w:rPr>
      </w:pPr>
    </w:p>
    <w:p>
      <w:pPr>
        <w:pStyle w:val="4"/>
        <w:spacing w:before="0" w:line="360" w:lineRule="auto"/>
        <w:ind w:left="0" w:firstLine="640" w:firstLineChars="200"/>
        <w:contextualSpacing/>
        <w:jc w:val="both"/>
        <w:rPr>
          <w:rFonts w:ascii="仿宋_GB2312" w:eastAsia="仿宋_GB2312"/>
          <w:color w:val="FF0000"/>
          <w:sz w:val="32"/>
          <w:szCs w:val="32"/>
          <w:lang w:eastAsia="zh-CN"/>
        </w:rPr>
      </w:pPr>
    </w:p>
    <w:p>
      <w:pPr>
        <w:pStyle w:val="4"/>
        <w:spacing w:before="0" w:line="360" w:lineRule="auto"/>
        <w:ind w:left="0" w:firstLine="640" w:firstLineChars="200"/>
        <w:contextualSpacing/>
        <w:jc w:val="both"/>
        <w:rPr>
          <w:rFonts w:ascii="仿宋_GB2312" w:eastAsia="仿宋_GB2312"/>
          <w:color w:val="FF0000"/>
          <w:sz w:val="32"/>
          <w:szCs w:val="32"/>
          <w:lang w:eastAsia="zh-CN"/>
        </w:rPr>
      </w:pPr>
    </w:p>
    <w:p>
      <w:pPr>
        <w:pStyle w:val="4"/>
        <w:spacing w:before="0" w:line="360" w:lineRule="auto"/>
        <w:ind w:left="0" w:firstLine="640" w:firstLineChars="200"/>
        <w:contextualSpacing/>
        <w:jc w:val="both"/>
        <w:rPr>
          <w:rFonts w:ascii="仿宋_GB2312" w:eastAsia="仿宋_GB2312"/>
          <w:color w:val="FF0000"/>
          <w:sz w:val="32"/>
          <w:szCs w:val="32"/>
          <w:lang w:eastAsia="zh-CN"/>
        </w:rPr>
      </w:pPr>
    </w:p>
    <w:p>
      <w:pPr>
        <w:pStyle w:val="4"/>
        <w:spacing w:before="0" w:line="360" w:lineRule="auto"/>
        <w:ind w:left="0" w:firstLine="640" w:firstLineChars="200"/>
        <w:contextualSpacing/>
        <w:jc w:val="both"/>
        <w:rPr>
          <w:rFonts w:ascii="仿宋_GB2312" w:eastAsia="仿宋_GB2312"/>
          <w:color w:val="FF0000"/>
          <w:sz w:val="32"/>
          <w:szCs w:val="32"/>
          <w:lang w:eastAsia="zh-CN"/>
        </w:rPr>
      </w:pPr>
    </w:p>
    <w:p>
      <w:pPr>
        <w:pStyle w:val="4"/>
        <w:spacing w:before="0" w:line="360" w:lineRule="auto"/>
        <w:ind w:left="0" w:firstLine="640" w:firstLineChars="200"/>
        <w:contextualSpacing/>
        <w:jc w:val="both"/>
        <w:rPr>
          <w:rFonts w:ascii="仿宋_GB2312" w:eastAsia="仿宋_GB2312"/>
          <w:color w:val="FF0000"/>
          <w:sz w:val="32"/>
          <w:szCs w:val="32"/>
          <w:lang w:eastAsia="zh-CN"/>
        </w:rPr>
      </w:pPr>
    </w:p>
    <w:p>
      <w:pPr>
        <w:pStyle w:val="4"/>
        <w:spacing w:before="0" w:line="360" w:lineRule="auto"/>
        <w:ind w:left="0" w:firstLine="640" w:firstLineChars="200"/>
        <w:contextualSpacing/>
        <w:jc w:val="both"/>
        <w:rPr>
          <w:rFonts w:ascii="仿宋_GB2312" w:eastAsia="仿宋_GB2312"/>
          <w:color w:val="FF0000"/>
          <w:sz w:val="32"/>
          <w:szCs w:val="32"/>
          <w:lang w:eastAsia="zh-CN"/>
        </w:rPr>
      </w:pPr>
    </w:p>
    <w:p>
      <w:pPr>
        <w:widowControl/>
        <w:rPr>
          <w:rFonts w:ascii="黑体" w:hAnsi="黑体" w:eastAsia="黑体"/>
          <w:spacing w:val="2"/>
          <w:sz w:val="32"/>
          <w:szCs w:val="32"/>
        </w:rPr>
      </w:pPr>
      <w:r>
        <w:rPr>
          <w:rFonts w:hint="eastAsia" w:ascii="黑体" w:hAnsi="黑体" w:eastAsia="黑体"/>
          <w:spacing w:val="2"/>
          <w:sz w:val="32"/>
          <w:szCs w:val="32"/>
        </w:rPr>
        <w:t>附件</w:t>
      </w:r>
      <w:r>
        <w:rPr>
          <w:rFonts w:ascii="黑体" w:hAnsi="黑体" w:eastAsia="黑体"/>
          <w:spacing w:val="2"/>
          <w:sz w:val="32"/>
          <w:szCs w:val="32"/>
        </w:rPr>
        <w:t>1</w:t>
      </w:r>
    </w:p>
    <w:p>
      <w:pPr>
        <w:pStyle w:val="17"/>
        <w:rPr>
          <w:rFonts w:hint="eastAsia" w:ascii="仿宋_GB2312" w:eastAsia="仿宋_GB2312"/>
          <w:b/>
          <w:spacing w:val="2"/>
          <w:sz w:val="36"/>
          <w:szCs w:val="36"/>
          <w:lang w:val="en-US" w:eastAsia="zh-CN"/>
        </w:rPr>
      </w:pPr>
    </w:p>
    <w:p>
      <w:pPr>
        <w:pStyle w:val="17"/>
        <w:rPr>
          <w:rFonts w:ascii="仿宋_GB2312" w:eastAsia="仿宋_GB2312"/>
          <w:b/>
          <w:spacing w:val="2"/>
          <w:sz w:val="36"/>
          <w:szCs w:val="36"/>
        </w:rPr>
      </w:pPr>
      <w:r>
        <w:rPr>
          <w:rFonts w:hint="eastAsia" w:ascii="仿宋_GB2312" w:eastAsia="仿宋_GB2312"/>
          <w:b/>
          <w:spacing w:val="2"/>
          <w:sz w:val="36"/>
          <w:szCs w:val="36"/>
          <w:lang w:val="en-US" w:eastAsia="zh-CN"/>
        </w:rPr>
        <w:t>长春市</w:t>
      </w:r>
      <w:r>
        <w:rPr>
          <w:rFonts w:ascii="仿宋_GB2312" w:eastAsia="仿宋_GB2312"/>
          <w:b/>
          <w:spacing w:val="2"/>
          <w:sz w:val="36"/>
          <w:szCs w:val="36"/>
        </w:rPr>
        <w:t>环境管控单元划定</w:t>
      </w:r>
      <w:r>
        <w:rPr>
          <w:rFonts w:hint="eastAsia" w:ascii="仿宋_GB2312" w:eastAsia="仿宋_GB2312"/>
          <w:b/>
          <w:spacing w:val="2"/>
          <w:sz w:val="36"/>
          <w:szCs w:val="36"/>
        </w:rPr>
        <w:t>情况</w:t>
      </w:r>
      <w:r>
        <w:rPr>
          <w:rFonts w:ascii="仿宋_GB2312" w:eastAsia="仿宋_GB2312"/>
          <w:b/>
          <w:spacing w:val="2"/>
          <w:sz w:val="36"/>
          <w:szCs w:val="36"/>
        </w:rPr>
        <w:t>一览表</w:t>
      </w:r>
    </w:p>
    <w:p>
      <w:pPr>
        <w:rPr>
          <w:lang w:eastAsia="zh-CN"/>
        </w:rPr>
      </w:pPr>
    </w:p>
    <w:tbl>
      <w:tblPr>
        <w:tblStyle w:val="8"/>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062"/>
        <w:gridCol w:w="760"/>
        <w:gridCol w:w="1500"/>
        <w:gridCol w:w="867"/>
        <w:gridCol w:w="1500"/>
        <w:gridCol w:w="895"/>
        <w:gridCol w:w="17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637" w:type="pct"/>
            <w:vMerge w:val="restart"/>
            <w:noWrap/>
            <w:tcMar>
              <w:top w:w="15" w:type="dxa"/>
              <w:left w:w="15" w:type="dxa"/>
              <w:bottom w:w="0" w:type="dxa"/>
              <w:right w:w="15" w:type="dxa"/>
            </w:tcMar>
            <w:vAlign w:val="center"/>
          </w:tcPr>
          <w:p>
            <w:pPr>
              <w:pStyle w:val="19"/>
              <w:jc w:val="center"/>
              <w:rPr>
                <w:rFonts w:ascii="Times New Roman" w:hAnsi="Times New Roman" w:eastAsia="仿宋" w:cs="Times New Roman"/>
                <w:b/>
                <w:bCs/>
                <w:lang w:eastAsia="zh-CN"/>
              </w:rPr>
            </w:pPr>
            <w:r>
              <w:rPr>
                <w:rFonts w:ascii="Times New Roman" w:hAnsi="Times New Roman" w:eastAsia="仿宋" w:cs="Times New Roman"/>
                <w:b/>
                <w:bCs/>
                <w:lang w:eastAsia="zh-CN"/>
              </w:rPr>
              <w:t>县（区）</w:t>
            </w:r>
          </w:p>
        </w:tc>
        <w:tc>
          <w:tcPr>
            <w:tcW w:w="1356" w:type="pct"/>
            <w:gridSpan w:val="2"/>
            <w:noWrap/>
            <w:tcMar>
              <w:top w:w="15" w:type="dxa"/>
              <w:left w:w="15" w:type="dxa"/>
              <w:bottom w:w="0" w:type="dxa"/>
              <w:right w:w="15" w:type="dxa"/>
            </w:tcMar>
            <w:vAlign w:val="center"/>
          </w:tcPr>
          <w:p>
            <w:pPr>
              <w:pStyle w:val="19"/>
              <w:jc w:val="center"/>
              <w:rPr>
                <w:rFonts w:ascii="Times New Roman" w:hAnsi="Times New Roman" w:eastAsia="仿宋" w:cs="Times New Roman"/>
                <w:b/>
                <w:bCs/>
              </w:rPr>
            </w:pPr>
            <w:r>
              <w:rPr>
                <w:rFonts w:ascii="Times New Roman" w:hAnsi="Times New Roman" w:eastAsia="仿宋" w:cs="Times New Roman"/>
                <w:b/>
                <w:bCs/>
              </w:rPr>
              <w:t>优先保护单元</w:t>
            </w:r>
          </w:p>
        </w:tc>
        <w:tc>
          <w:tcPr>
            <w:tcW w:w="1420" w:type="pct"/>
            <w:gridSpan w:val="2"/>
            <w:noWrap/>
            <w:tcMar>
              <w:top w:w="15" w:type="dxa"/>
              <w:left w:w="15" w:type="dxa"/>
              <w:bottom w:w="0" w:type="dxa"/>
              <w:right w:w="15" w:type="dxa"/>
            </w:tcMar>
            <w:vAlign w:val="center"/>
          </w:tcPr>
          <w:p>
            <w:pPr>
              <w:pStyle w:val="19"/>
              <w:jc w:val="center"/>
              <w:rPr>
                <w:rFonts w:ascii="Times New Roman" w:hAnsi="Times New Roman" w:eastAsia="仿宋" w:cs="Times New Roman"/>
                <w:b/>
                <w:bCs/>
              </w:rPr>
            </w:pPr>
            <w:r>
              <w:rPr>
                <w:rFonts w:ascii="Times New Roman" w:hAnsi="Times New Roman" w:eastAsia="仿宋" w:cs="Times New Roman"/>
                <w:b/>
                <w:bCs/>
              </w:rPr>
              <w:t>重点管控单元</w:t>
            </w:r>
          </w:p>
        </w:tc>
        <w:tc>
          <w:tcPr>
            <w:tcW w:w="1586" w:type="pct"/>
            <w:gridSpan w:val="2"/>
            <w:noWrap/>
            <w:tcMar>
              <w:top w:w="15" w:type="dxa"/>
              <w:left w:w="15" w:type="dxa"/>
              <w:bottom w:w="0" w:type="dxa"/>
              <w:right w:w="15" w:type="dxa"/>
            </w:tcMar>
            <w:vAlign w:val="center"/>
          </w:tcPr>
          <w:p>
            <w:pPr>
              <w:pStyle w:val="19"/>
              <w:jc w:val="center"/>
              <w:rPr>
                <w:rFonts w:ascii="Times New Roman" w:hAnsi="Times New Roman" w:eastAsia="仿宋" w:cs="Times New Roman"/>
                <w:b/>
                <w:bCs/>
              </w:rPr>
            </w:pPr>
            <w:r>
              <w:rPr>
                <w:rFonts w:ascii="Times New Roman" w:hAnsi="Times New Roman" w:eastAsia="仿宋" w:cs="Times New Roman"/>
                <w:b/>
                <w:bCs/>
              </w:rPr>
              <w:t>一般管控单元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637" w:type="pct"/>
            <w:vMerge w:val="continue"/>
            <w:noWrap/>
            <w:tcMar>
              <w:top w:w="15" w:type="dxa"/>
              <w:left w:w="15" w:type="dxa"/>
              <w:bottom w:w="0" w:type="dxa"/>
              <w:right w:w="15" w:type="dxa"/>
            </w:tcMar>
            <w:vAlign w:val="center"/>
          </w:tcPr>
          <w:p>
            <w:pPr>
              <w:pStyle w:val="19"/>
              <w:jc w:val="center"/>
              <w:rPr>
                <w:rFonts w:ascii="Times New Roman" w:hAnsi="Times New Roman" w:eastAsia="仿宋" w:cs="Times New Roman"/>
                <w:b/>
                <w:bCs/>
              </w:rPr>
            </w:pPr>
          </w:p>
        </w:tc>
        <w:tc>
          <w:tcPr>
            <w:tcW w:w="456" w:type="pct"/>
            <w:noWrap/>
            <w:tcMar>
              <w:top w:w="15" w:type="dxa"/>
              <w:left w:w="15" w:type="dxa"/>
              <w:bottom w:w="0" w:type="dxa"/>
              <w:right w:w="15" w:type="dxa"/>
            </w:tcMar>
            <w:vAlign w:val="center"/>
          </w:tcPr>
          <w:p>
            <w:pPr>
              <w:pStyle w:val="19"/>
              <w:jc w:val="center"/>
              <w:rPr>
                <w:rFonts w:ascii="Times New Roman" w:hAnsi="Times New Roman" w:eastAsia="仿宋" w:cs="Times New Roman"/>
                <w:b/>
                <w:bCs/>
              </w:rPr>
            </w:pPr>
            <w:r>
              <w:rPr>
                <w:rFonts w:ascii="Times New Roman" w:hAnsi="Times New Roman" w:eastAsia="仿宋" w:cs="Times New Roman"/>
                <w:b/>
                <w:bCs/>
              </w:rPr>
              <w:t>个数</w:t>
            </w:r>
          </w:p>
        </w:tc>
        <w:tc>
          <w:tcPr>
            <w:tcW w:w="900" w:type="pct"/>
            <w:noWrap/>
            <w:vAlign w:val="center"/>
          </w:tcPr>
          <w:p>
            <w:pPr>
              <w:pStyle w:val="19"/>
              <w:jc w:val="center"/>
              <w:rPr>
                <w:rFonts w:ascii="Times New Roman" w:hAnsi="Times New Roman" w:eastAsia="仿宋" w:cs="Times New Roman"/>
                <w:b/>
                <w:bCs/>
              </w:rPr>
            </w:pPr>
            <w:r>
              <w:rPr>
                <w:rFonts w:hint="eastAsia" w:ascii="Times New Roman" w:hAnsi="Times New Roman" w:eastAsia="仿宋" w:cs="Times New Roman"/>
                <w:b/>
                <w:bCs/>
                <w:lang w:eastAsia="zh-CN"/>
              </w:rPr>
              <w:t>面积占比</w:t>
            </w:r>
            <w:r>
              <w:rPr>
                <w:rFonts w:ascii="Times New Roman" w:hAnsi="Times New Roman" w:eastAsia="仿宋" w:cs="Times New Roman"/>
                <w:b/>
                <w:bCs/>
              </w:rPr>
              <w:t>%</w:t>
            </w:r>
          </w:p>
        </w:tc>
        <w:tc>
          <w:tcPr>
            <w:tcW w:w="520" w:type="pct"/>
            <w:noWrap/>
            <w:tcMar>
              <w:top w:w="15" w:type="dxa"/>
              <w:left w:w="15" w:type="dxa"/>
              <w:bottom w:w="0" w:type="dxa"/>
              <w:right w:w="15" w:type="dxa"/>
            </w:tcMar>
            <w:vAlign w:val="center"/>
          </w:tcPr>
          <w:p>
            <w:pPr>
              <w:pStyle w:val="19"/>
              <w:jc w:val="center"/>
              <w:rPr>
                <w:rFonts w:ascii="Times New Roman" w:hAnsi="Times New Roman" w:eastAsia="仿宋" w:cs="Times New Roman"/>
                <w:b/>
                <w:bCs/>
              </w:rPr>
            </w:pPr>
            <w:r>
              <w:rPr>
                <w:rFonts w:ascii="Times New Roman" w:hAnsi="Times New Roman" w:eastAsia="仿宋" w:cs="Times New Roman"/>
                <w:b/>
                <w:bCs/>
              </w:rPr>
              <w:t>个数</w:t>
            </w:r>
          </w:p>
        </w:tc>
        <w:tc>
          <w:tcPr>
            <w:tcW w:w="900" w:type="pct"/>
            <w:noWrap/>
            <w:vAlign w:val="center"/>
          </w:tcPr>
          <w:p>
            <w:pPr>
              <w:pStyle w:val="19"/>
              <w:jc w:val="center"/>
              <w:rPr>
                <w:rFonts w:ascii="Times New Roman" w:hAnsi="Times New Roman" w:eastAsia="仿宋" w:cs="Times New Roman"/>
                <w:b/>
                <w:bCs/>
              </w:rPr>
            </w:pPr>
            <w:r>
              <w:rPr>
                <w:rFonts w:hint="eastAsia" w:ascii="Times New Roman" w:hAnsi="Times New Roman" w:eastAsia="仿宋" w:cs="Times New Roman"/>
                <w:b/>
                <w:bCs/>
                <w:lang w:eastAsia="zh-CN"/>
              </w:rPr>
              <w:t>面积占比</w:t>
            </w:r>
            <w:r>
              <w:rPr>
                <w:rFonts w:ascii="Times New Roman" w:hAnsi="Times New Roman" w:eastAsia="仿宋" w:cs="Times New Roman"/>
                <w:b/>
                <w:bCs/>
              </w:rPr>
              <w:t>%</w:t>
            </w:r>
          </w:p>
        </w:tc>
        <w:tc>
          <w:tcPr>
            <w:tcW w:w="537" w:type="pct"/>
            <w:noWrap/>
            <w:tcMar>
              <w:top w:w="15" w:type="dxa"/>
              <w:left w:w="15" w:type="dxa"/>
              <w:bottom w:w="0" w:type="dxa"/>
              <w:right w:w="15" w:type="dxa"/>
            </w:tcMar>
            <w:vAlign w:val="center"/>
          </w:tcPr>
          <w:p>
            <w:pPr>
              <w:pStyle w:val="19"/>
              <w:jc w:val="center"/>
              <w:rPr>
                <w:rFonts w:ascii="Times New Roman" w:hAnsi="Times New Roman" w:eastAsia="仿宋" w:cs="Times New Roman"/>
                <w:b/>
                <w:bCs/>
              </w:rPr>
            </w:pPr>
            <w:r>
              <w:rPr>
                <w:rFonts w:ascii="Times New Roman" w:hAnsi="Times New Roman" w:eastAsia="仿宋" w:cs="Times New Roman"/>
                <w:b/>
                <w:bCs/>
              </w:rPr>
              <w:t>个数</w:t>
            </w:r>
          </w:p>
        </w:tc>
        <w:tc>
          <w:tcPr>
            <w:tcW w:w="1049" w:type="pct"/>
            <w:noWrap/>
            <w:vAlign w:val="center"/>
          </w:tcPr>
          <w:p>
            <w:pPr>
              <w:pStyle w:val="19"/>
              <w:jc w:val="center"/>
              <w:rPr>
                <w:rFonts w:ascii="Times New Roman" w:hAnsi="Times New Roman" w:eastAsia="仿宋" w:cs="Times New Roman"/>
                <w:b/>
                <w:bCs/>
              </w:rPr>
            </w:pPr>
            <w:r>
              <w:rPr>
                <w:rFonts w:hint="eastAsia" w:ascii="Times New Roman" w:hAnsi="Times New Roman" w:eastAsia="仿宋" w:cs="Times New Roman"/>
                <w:b/>
                <w:bCs/>
                <w:lang w:eastAsia="zh-CN"/>
              </w:rPr>
              <w:t>面积占比</w:t>
            </w:r>
            <w:r>
              <w:rPr>
                <w:rFonts w:ascii="Times New Roman" w:hAnsi="Times New Roman" w:eastAsia="仿宋" w:cs="Times New Roman"/>
                <w:b/>
                <w:bC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637"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朝阳区</w:t>
            </w:r>
          </w:p>
        </w:tc>
        <w:tc>
          <w:tcPr>
            <w:tcW w:w="456"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5</w:t>
            </w:r>
          </w:p>
        </w:tc>
        <w:tc>
          <w:tcPr>
            <w:tcW w:w="900" w:type="pct"/>
            <w:shd w:val="clear" w:color="auto" w:fill="auto"/>
            <w:noWrap/>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23.77</w:t>
            </w:r>
          </w:p>
        </w:tc>
        <w:tc>
          <w:tcPr>
            <w:tcW w:w="520"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5</w:t>
            </w:r>
          </w:p>
        </w:tc>
        <w:tc>
          <w:tcPr>
            <w:tcW w:w="900" w:type="pct"/>
            <w:shd w:val="clear" w:color="auto" w:fill="auto"/>
            <w:noWrap/>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65.22</w:t>
            </w:r>
          </w:p>
        </w:tc>
        <w:tc>
          <w:tcPr>
            <w:tcW w:w="537"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1</w:t>
            </w:r>
          </w:p>
        </w:tc>
        <w:tc>
          <w:tcPr>
            <w:tcW w:w="1049" w:type="pct"/>
            <w:shd w:val="clear" w:color="auto" w:fill="auto"/>
            <w:noWrap/>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11.01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637"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德惠市</w:t>
            </w:r>
          </w:p>
        </w:tc>
        <w:tc>
          <w:tcPr>
            <w:tcW w:w="456"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4</w:t>
            </w:r>
          </w:p>
        </w:tc>
        <w:tc>
          <w:tcPr>
            <w:tcW w:w="900" w:type="pct"/>
            <w:shd w:val="clear" w:color="auto" w:fill="auto"/>
            <w:noWrap/>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39.59</w:t>
            </w:r>
          </w:p>
        </w:tc>
        <w:tc>
          <w:tcPr>
            <w:tcW w:w="520"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6</w:t>
            </w:r>
          </w:p>
        </w:tc>
        <w:tc>
          <w:tcPr>
            <w:tcW w:w="900" w:type="pct"/>
            <w:shd w:val="clear" w:color="auto" w:fill="auto"/>
            <w:noWrap/>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33.55</w:t>
            </w:r>
          </w:p>
        </w:tc>
        <w:tc>
          <w:tcPr>
            <w:tcW w:w="537"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1</w:t>
            </w:r>
          </w:p>
        </w:tc>
        <w:tc>
          <w:tcPr>
            <w:tcW w:w="1049" w:type="pct"/>
            <w:shd w:val="clear" w:color="auto" w:fill="auto"/>
            <w:noWrap/>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26.86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637"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二道区</w:t>
            </w:r>
          </w:p>
        </w:tc>
        <w:tc>
          <w:tcPr>
            <w:tcW w:w="456"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6</w:t>
            </w:r>
          </w:p>
        </w:tc>
        <w:tc>
          <w:tcPr>
            <w:tcW w:w="900" w:type="pct"/>
            <w:shd w:val="clear" w:color="auto" w:fill="auto"/>
            <w:noWrap/>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15.97</w:t>
            </w:r>
          </w:p>
        </w:tc>
        <w:tc>
          <w:tcPr>
            <w:tcW w:w="520"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9</w:t>
            </w:r>
          </w:p>
        </w:tc>
        <w:tc>
          <w:tcPr>
            <w:tcW w:w="900" w:type="pct"/>
            <w:shd w:val="clear" w:color="auto" w:fill="auto"/>
            <w:noWrap/>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83.95</w:t>
            </w:r>
          </w:p>
        </w:tc>
        <w:tc>
          <w:tcPr>
            <w:tcW w:w="537"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1</w:t>
            </w:r>
          </w:p>
        </w:tc>
        <w:tc>
          <w:tcPr>
            <w:tcW w:w="1049" w:type="pct"/>
            <w:shd w:val="clear" w:color="auto" w:fill="auto"/>
            <w:noWrap/>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637"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公主岭市</w:t>
            </w:r>
          </w:p>
        </w:tc>
        <w:tc>
          <w:tcPr>
            <w:tcW w:w="456"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13</w:t>
            </w:r>
          </w:p>
        </w:tc>
        <w:tc>
          <w:tcPr>
            <w:tcW w:w="900" w:type="pct"/>
            <w:shd w:val="clear" w:color="auto" w:fill="auto"/>
            <w:noWrap/>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28.82</w:t>
            </w:r>
          </w:p>
        </w:tc>
        <w:tc>
          <w:tcPr>
            <w:tcW w:w="520"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9</w:t>
            </w:r>
          </w:p>
        </w:tc>
        <w:tc>
          <w:tcPr>
            <w:tcW w:w="900" w:type="pct"/>
            <w:shd w:val="clear" w:color="auto" w:fill="auto"/>
            <w:noWrap/>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32.01</w:t>
            </w:r>
          </w:p>
        </w:tc>
        <w:tc>
          <w:tcPr>
            <w:tcW w:w="537"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1</w:t>
            </w:r>
          </w:p>
        </w:tc>
        <w:tc>
          <w:tcPr>
            <w:tcW w:w="1049" w:type="pct"/>
            <w:shd w:val="clear" w:color="auto" w:fill="auto"/>
            <w:noWrap/>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39.18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637"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九台区</w:t>
            </w:r>
          </w:p>
        </w:tc>
        <w:tc>
          <w:tcPr>
            <w:tcW w:w="456"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9</w:t>
            </w:r>
          </w:p>
        </w:tc>
        <w:tc>
          <w:tcPr>
            <w:tcW w:w="900" w:type="pct"/>
            <w:shd w:val="clear" w:color="auto" w:fill="auto"/>
            <w:noWrap/>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35.25</w:t>
            </w:r>
          </w:p>
        </w:tc>
        <w:tc>
          <w:tcPr>
            <w:tcW w:w="520"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8</w:t>
            </w:r>
          </w:p>
        </w:tc>
        <w:tc>
          <w:tcPr>
            <w:tcW w:w="900" w:type="pct"/>
            <w:shd w:val="clear" w:color="auto" w:fill="auto"/>
            <w:noWrap/>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31.47</w:t>
            </w:r>
          </w:p>
        </w:tc>
        <w:tc>
          <w:tcPr>
            <w:tcW w:w="537"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1</w:t>
            </w:r>
          </w:p>
        </w:tc>
        <w:tc>
          <w:tcPr>
            <w:tcW w:w="1049" w:type="pct"/>
            <w:shd w:val="clear" w:color="auto" w:fill="auto"/>
            <w:noWrap/>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33.28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637"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宽城区</w:t>
            </w:r>
          </w:p>
        </w:tc>
        <w:tc>
          <w:tcPr>
            <w:tcW w:w="456"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1</w:t>
            </w:r>
          </w:p>
        </w:tc>
        <w:tc>
          <w:tcPr>
            <w:tcW w:w="900" w:type="pct"/>
            <w:shd w:val="clear" w:color="auto" w:fill="auto"/>
            <w:noWrap/>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0.31</w:t>
            </w:r>
          </w:p>
        </w:tc>
        <w:tc>
          <w:tcPr>
            <w:tcW w:w="520"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5</w:t>
            </w:r>
          </w:p>
        </w:tc>
        <w:tc>
          <w:tcPr>
            <w:tcW w:w="900" w:type="pct"/>
            <w:shd w:val="clear" w:color="auto" w:fill="auto"/>
            <w:noWrap/>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99.69</w:t>
            </w:r>
          </w:p>
        </w:tc>
        <w:tc>
          <w:tcPr>
            <w:tcW w:w="537"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0</w:t>
            </w:r>
          </w:p>
        </w:tc>
        <w:tc>
          <w:tcPr>
            <w:tcW w:w="1049" w:type="pct"/>
            <w:shd w:val="clear" w:color="auto" w:fill="auto"/>
            <w:noWrap/>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637"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绿园区</w:t>
            </w:r>
          </w:p>
        </w:tc>
        <w:tc>
          <w:tcPr>
            <w:tcW w:w="456"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0</w:t>
            </w:r>
          </w:p>
        </w:tc>
        <w:tc>
          <w:tcPr>
            <w:tcW w:w="900" w:type="pct"/>
            <w:shd w:val="clear" w:color="auto" w:fill="auto"/>
            <w:noWrap/>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0</w:t>
            </w:r>
          </w:p>
        </w:tc>
        <w:tc>
          <w:tcPr>
            <w:tcW w:w="520"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6</w:t>
            </w:r>
          </w:p>
        </w:tc>
        <w:tc>
          <w:tcPr>
            <w:tcW w:w="900" w:type="pct"/>
            <w:shd w:val="clear" w:color="auto" w:fill="auto"/>
            <w:noWrap/>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100</w:t>
            </w:r>
          </w:p>
        </w:tc>
        <w:tc>
          <w:tcPr>
            <w:tcW w:w="537" w:type="pct"/>
            <w:shd w:val="clear" w:color="auto" w:fill="auto"/>
            <w:noWrap/>
            <w:tcMar>
              <w:top w:w="15" w:type="dxa"/>
              <w:left w:w="15" w:type="dxa"/>
              <w:bottom w:w="0" w:type="dxa"/>
              <w:right w:w="15" w:type="dxa"/>
            </w:tcMar>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0</w:t>
            </w:r>
          </w:p>
        </w:tc>
        <w:tc>
          <w:tcPr>
            <w:tcW w:w="1049" w:type="pct"/>
            <w:shd w:val="clear" w:color="auto" w:fill="auto"/>
            <w:noWrap/>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南关区</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8</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39.31</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6</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60.69</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1</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农安县</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13</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34.03</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6</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29.4</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1</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36.57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双阳区</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10</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26.69</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6</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42.4</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1</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30.91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榆树市</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6</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48.18</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7</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45.76</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1</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全市</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75</w:t>
            </w:r>
          </w:p>
        </w:tc>
        <w:tc>
          <w:tcPr>
            <w:tcW w:w="0" w:type="auto"/>
          </w:tcPr>
          <w:p>
            <w:pPr>
              <w:pStyle w:val="19"/>
              <w:jc w:val="center"/>
              <w:rPr>
                <w:rFonts w:ascii="Times New Roman" w:hAnsi="Times New Roman" w:eastAsia="仿宋" w:cs="Times New Roman"/>
                <w:color w:val="FF0000"/>
                <w:lang w:eastAsia="zh-CN"/>
              </w:rPr>
            </w:pPr>
            <w:r>
              <w:rPr>
                <w:rFonts w:hint="eastAsia" w:ascii="Times New Roman" w:hAnsi="Times New Roman" w:eastAsia="仿宋" w:cs="Times New Roman"/>
                <w:lang w:eastAsia="zh-CN"/>
              </w:rPr>
              <w:t>35.10</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73</w:t>
            </w:r>
          </w:p>
        </w:tc>
        <w:tc>
          <w:tcPr>
            <w:tcW w:w="0" w:type="auto"/>
          </w:tcPr>
          <w:p>
            <w:pPr>
              <w:pStyle w:val="19"/>
              <w:jc w:val="center"/>
              <w:rPr>
                <w:rFonts w:ascii="Times New Roman" w:hAnsi="Times New Roman" w:eastAsia="仿宋" w:cs="Times New Roman"/>
                <w:color w:val="FF0000"/>
                <w:lang w:eastAsia="zh-CN"/>
              </w:rPr>
            </w:pPr>
            <w:r>
              <w:rPr>
                <w:rFonts w:hint="eastAsia" w:ascii="Times New Roman" w:hAnsi="Times New Roman" w:eastAsia="仿宋" w:cs="Times New Roman"/>
                <w:lang w:eastAsia="zh-CN"/>
              </w:rPr>
              <w:t>38.64</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9</w:t>
            </w:r>
          </w:p>
        </w:tc>
        <w:tc>
          <w:tcPr>
            <w:tcW w:w="0" w:type="auto"/>
            <w:shd w:val="clear" w:color="auto" w:fill="auto"/>
            <w:vAlign w:val="center"/>
          </w:tcPr>
          <w:p>
            <w:pPr>
              <w:pStyle w:val="19"/>
              <w:jc w:val="center"/>
              <w:rPr>
                <w:rFonts w:ascii="Times New Roman" w:hAnsi="Times New Roman" w:eastAsia="仿宋" w:cs="Times New Roman"/>
                <w:lang w:eastAsia="zh-CN"/>
              </w:rPr>
            </w:pPr>
            <w:r>
              <w:rPr>
                <w:rFonts w:hint="eastAsia" w:ascii="Times New Roman" w:hAnsi="Times New Roman" w:eastAsia="仿宋" w:cs="Times New Roman"/>
                <w:lang w:eastAsia="zh-CN"/>
              </w:rPr>
              <w:t>26.26</w:t>
            </w:r>
          </w:p>
        </w:tc>
      </w:tr>
    </w:tbl>
    <w:p>
      <w:pPr>
        <w:pStyle w:val="4"/>
        <w:spacing w:before="0" w:line="360" w:lineRule="auto"/>
        <w:ind w:left="0" w:firstLine="640" w:firstLineChars="200"/>
        <w:contextualSpacing/>
        <w:jc w:val="both"/>
        <w:rPr>
          <w:rFonts w:ascii="仿宋_GB2312" w:eastAsia="仿宋_GB2312"/>
          <w:color w:val="FF000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5B33A"/>
    <w:multiLevelType w:val="singleLevel"/>
    <w:tmpl w:val="9615B33A"/>
    <w:lvl w:ilvl="0" w:tentative="0">
      <w:start w:val="1"/>
      <w:numFmt w:val="decimal"/>
      <w:pStyle w:val="14"/>
      <w:suff w:val="nothing"/>
      <w:lvlText w:val="表3-%1   "/>
      <w:lvlJc w:val="left"/>
      <w:pPr>
        <w:tabs>
          <w:tab w:val="left" w:pos="0"/>
        </w:tabs>
        <w:ind w:left="1055" w:hanging="425"/>
      </w:pPr>
      <w:rPr>
        <w:rFonts w:hint="default" w:ascii="宋体" w:hAnsi="宋体" w:eastAsia="宋体" w:cs="宋体"/>
        <w:sz w:val="24"/>
        <w:szCs w:val="24"/>
      </w:rPr>
    </w:lvl>
  </w:abstractNum>
  <w:abstractNum w:abstractNumId="1">
    <w:nsid w:val="CC537121"/>
    <w:multiLevelType w:val="singleLevel"/>
    <w:tmpl w:val="CC537121"/>
    <w:lvl w:ilvl="0" w:tentative="0">
      <w:start w:val="1"/>
      <w:numFmt w:val="decimal"/>
      <w:pStyle w:val="13"/>
      <w:suff w:val="nothing"/>
      <w:lvlText w:val="表1-%1   "/>
      <w:lvlJc w:val="left"/>
      <w:pPr>
        <w:tabs>
          <w:tab w:val="left" w:pos="420"/>
        </w:tabs>
        <w:ind w:left="1055" w:hanging="425"/>
      </w:pPr>
      <w:rPr>
        <w:rFonts w:hint="default" w:ascii="Times New Roman" w:hAnsi="Times New Roman" w:eastAsia="宋体" w:cs="宋体"/>
        <w:sz w:val="24"/>
        <w:szCs w:val="24"/>
      </w:rPr>
    </w:lvl>
  </w:abstractNum>
  <w:abstractNum w:abstractNumId="2">
    <w:nsid w:val="02848F00"/>
    <w:multiLevelType w:val="singleLevel"/>
    <w:tmpl w:val="02848F00"/>
    <w:lvl w:ilvl="0" w:tentative="0">
      <w:start w:val="1"/>
      <w:numFmt w:val="decimal"/>
      <w:pStyle w:val="15"/>
      <w:suff w:val="nothing"/>
      <w:lvlText w:val="表3-%1   "/>
      <w:lvlJc w:val="left"/>
      <w:pPr>
        <w:tabs>
          <w:tab w:val="left" w:pos="0"/>
        </w:tabs>
        <w:ind w:left="1055" w:hanging="425"/>
      </w:pPr>
      <w:rPr>
        <w:rFonts w:hint="default" w:ascii="宋体" w:hAnsi="宋体" w:eastAsia="宋体" w:cs="宋体"/>
        <w:sz w:val="24"/>
        <w:szCs w:val="24"/>
      </w:rPr>
    </w:lvl>
  </w:abstractNum>
  <w:abstractNum w:abstractNumId="3">
    <w:nsid w:val="5B2CDA12"/>
    <w:multiLevelType w:val="singleLevel"/>
    <w:tmpl w:val="5B2CDA12"/>
    <w:lvl w:ilvl="0" w:tentative="0">
      <w:start w:val="1"/>
      <w:numFmt w:val="decimal"/>
      <w:pStyle w:val="16"/>
      <w:suff w:val="nothing"/>
      <w:lvlText w:val="表5-%1   "/>
      <w:lvlJc w:val="left"/>
      <w:pPr>
        <w:tabs>
          <w:tab w:val="left" w:pos="0"/>
        </w:tabs>
        <w:ind w:left="1055" w:hanging="425"/>
      </w:pPr>
      <w:rPr>
        <w:rFonts w:hint="default" w:ascii="宋体" w:hAnsi="宋体" w:eastAsia="宋体" w:cs="宋体"/>
        <w:sz w:val="24"/>
        <w:szCs w:val="24"/>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0ZjYwYWU0NmI0MDhjZTYzZWIxMDllZGIwZDk0ZTkifQ=="/>
  </w:docVars>
  <w:rsids>
    <w:rsidRoot w:val="256957BC"/>
    <w:rsid w:val="00160520"/>
    <w:rsid w:val="00183F95"/>
    <w:rsid w:val="00186CC3"/>
    <w:rsid w:val="001B4C7C"/>
    <w:rsid w:val="00245631"/>
    <w:rsid w:val="00607CD0"/>
    <w:rsid w:val="00727BAD"/>
    <w:rsid w:val="00744B2A"/>
    <w:rsid w:val="008F15A4"/>
    <w:rsid w:val="009D0FF0"/>
    <w:rsid w:val="00A319A2"/>
    <w:rsid w:val="00A54152"/>
    <w:rsid w:val="00AB728B"/>
    <w:rsid w:val="00CF50D8"/>
    <w:rsid w:val="00D264BE"/>
    <w:rsid w:val="00DD2A72"/>
    <w:rsid w:val="00DD5DFF"/>
    <w:rsid w:val="00E86451"/>
    <w:rsid w:val="011108CD"/>
    <w:rsid w:val="08B50742"/>
    <w:rsid w:val="092D0B18"/>
    <w:rsid w:val="0F231CC8"/>
    <w:rsid w:val="13FF1A7B"/>
    <w:rsid w:val="1F3F6BA6"/>
    <w:rsid w:val="228F6CF1"/>
    <w:rsid w:val="256957BC"/>
    <w:rsid w:val="33365D70"/>
    <w:rsid w:val="35256F20"/>
    <w:rsid w:val="40414F3F"/>
    <w:rsid w:val="43DB300A"/>
    <w:rsid w:val="48FE34E4"/>
    <w:rsid w:val="49376281"/>
    <w:rsid w:val="4BF012F2"/>
    <w:rsid w:val="4E5932B1"/>
    <w:rsid w:val="4F4D4600"/>
    <w:rsid w:val="55CE19ED"/>
    <w:rsid w:val="5DF96F59"/>
    <w:rsid w:val="68CD5D46"/>
    <w:rsid w:val="69640D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ind w:left="331"/>
      <w:outlineLvl w:val="0"/>
    </w:pPr>
    <w:rPr>
      <w:rFonts w:ascii="Arial Unicode MS" w:hAnsi="Arial Unicode MS" w:eastAsia="Arial Unicode MS"/>
      <w:sz w:val="32"/>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qFormat/>
    <w:uiPriority w:val="99"/>
    <w:pPr>
      <w:spacing w:before="110"/>
      <w:ind w:left="118"/>
    </w:pPr>
    <w:rPr>
      <w:rFonts w:ascii="宋体" w:hAnsi="宋体" w:eastAsia="宋体"/>
      <w:sz w:val="24"/>
      <w:szCs w:val="24"/>
    </w:rPr>
  </w:style>
  <w:style w:type="paragraph" w:styleId="5">
    <w:name w:val="Balloon Text"/>
    <w:basedOn w:val="1"/>
    <w:link w:val="22"/>
    <w:qFormat/>
    <w:uiPriority w:val="0"/>
    <w:rPr>
      <w:sz w:val="18"/>
      <w:szCs w:val="18"/>
    </w:rPr>
  </w:style>
  <w:style w:type="paragraph" w:styleId="6">
    <w:name w:val="footer"/>
    <w:basedOn w:val="1"/>
    <w:link w:val="21"/>
    <w:qFormat/>
    <w:uiPriority w:val="0"/>
    <w:pPr>
      <w:tabs>
        <w:tab w:val="center" w:pos="4153"/>
        <w:tab w:val="right" w:pos="8306"/>
      </w:tabs>
      <w:snapToGrid w:val="0"/>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customStyle="1" w:styleId="12">
    <w:name w:val="Default"/>
    <w:qFormat/>
    <w:uiPriority w:val="0"/>
    <w:pPr>
      <w:widowControl w:val="0"/>
      <w:autoSpaceDE w:val="0"/>
      <w:autoSpaceDN w:val="0"/>
      <w:adjustRightInd w:val="0"/>
      <w:spacing w:line="360" w:lineRule="auto"/>
      <w:ind w:firstLine="601"/>
      <w:jc w:val="both"/>
    </w:pPr>
    <w:rPr>
      <w:rFonts w:ascii="仿宋_GB2312" w:eastAsia="仿宋_GB2312" w:cs="仿宋_GB2312" w:hAnsiTheme="minorHAnsi"/>
      <w:color w:val="000000"/>
      <w:sz w:val="24"/>
      <w:szCs w:val="24"/>
      <w:lang w:val="en-US" w:eastAsia="zh-CN" w:bidi="ar-SA"/>
    </w:rPr>
  </w:style>
  <w:style w:type="paragraph" w:customStyle="1" w:styleId="13">
    <w:name w:val="1-1表格标题"/>
    <w:next w:val="1"/>
    <w:qFormat/>
    <w:uiPriority w:val="0"/>
    <w:pPr>
      <w:numPr>
        <w:ilvl w:val="0"/>
        <w:numId w:val="1"/>
      </w:numPr>
      <w:adjustRightInd w:val="0"/>
      <w:snapToGrid w:val="0"/>
      <w:ind w:left="0" w:firstLine="0"/>
      <w:jc w:val="center"/>
    </w:pPr>
    <w:rPr>
      <w:rFonts w:ascii="Times New Roman" w:hAnsi="Times New Roman" w:eastAsia="宋体" w:cstheme="minorBidi"/>
      <w:sz w:val="24"/>
      <w:lang w:val="en-US" w:eastAsia="zh-CN" w:bidi="ar-SA"/>
    </w:rPr>
  </w:style>
  <w:style w:type="paragraph" w:customStyle="1" w:styleId="14">
    <w:name w:val="3-1表格标题"/>
    <w:basedOn w:val="13"/>
    <w:qFormat/>
    <w:uiPriority w:val="0"/>
    <w:pPr>
      <w:numPr>
        <w:numId w:val="2"/>
      </w:numPr>
      <w:tabs>
        <w:tab w:val="left" w:pos="0"/>
      </w:tabs>
    </w:pPr>
    <w:rPr>
      <w:rFonts w:hint="eastAsia" w:cs="Times New Roman"/>
    </w:rPr>
  </w:style>
  <w:style w:type="paragraph" w:customStyle="1" w:styleId="15">
    <w:name w:val="4-1表标题"/>
    <w:basedOn w:val="14"/>
    <w:qFormat/>
    <w:uiPriority w:val="0"/>
    <w:pPr>
      <w:numPr>
        <w:numId w:val="3"/>
      </w:numPr>
    </w:pPr>
  </w:style>
  <w:style w:type="paragraph" w:customStyle="1" w:styleId="16">
    <w:name w:val="5-1表格标题"/>
    <w:basedOn w:val="15"/>
    <w:qFormat/>
    <w:uiPriority w:val="0"/>
    <w:pPr>
      <w:numPr>
        <w:numId w:val="4"/>
      </w:numPr>
      <w:ind w:firstLine="0"/>
    </w:pPr>
    <w:rPr>
      <w:szCs w:val="32"/>
    </w:rPr>
  </w:style>
  <w:style w:type="paragraph" w:customStyle="1" w:styleId="17">
    <w:name w:val="表名"/>
    <w:basedOn w:val="18"/>
    <w:next w:val="1"/>
    <w:qFormat/>
    <w:uiPriority w:val="0"/>
  </w:style>
  <w:style w:type="paragraph" w:customStyle="1" w:styleId="18">
    <w:name w:val="图名"/>
    <w:basedOn w:val="1"/>
    <w:next w:val="1"/>
    <w:qFormat/>
    <w:uiPriority w:val="0"/>
    <w:pPr>
      <w:jc w:val="center"/>
    </w:pPr>
    <w:rPr>
      <w:b/>
      <w:sz w:val="24"/>
    </w:rPr>
  </w:style>
  <w:style w:type="paragraph" w:customStyle="1" w:styleId="19">
    <w:name w:val="表格格式"/>
    <w:basedOn w:val="1"/>
    <w:next w:val="1"/>
    <w:qFormat/>
    <w:uiPriority w:val="0"/>
    <w:rPr>
      <w:sz w:val="21"/>
    </w:rPr>
  </w:style>
  <w:style w:type="character" w:customStyle="1" w:styleId="20">
    <w:name w:val="页眉 字符"/>
    <w:basedOn w:val="10"/>
    <w:link w:val="7"/>
    <w:qFormat/>
    <w:uiPriority w:val="0"/>
    <w:rPr>
      <w:rFonts w:asciiTheme="minorHAnsi" w:hAnsiTheme="minorHAnsi" w:eastAsiaTheme="minorEastAsia" w:cstheme="minorBidi"/>
      <w:sz w:val="18"/>
      <w:szCs w:val="18"/>
      <w:lang w:eastAsia="en-US"/>
    </w:rPr>
  </w:style>
  <w:style w:type="character" w:customStyle="1" w:styleId="21">
    <w:name w:val="页脚 字符"/>
    <w:basedOn w:val="10"/>
    <w:link w:val="6"/>
    <w:qFormat/>
    <w:uiPriority w:val="0"/>
    <w:rPr>
      <w:rFonts w:asciiTheme="minorHAnsi" w:hAnsiTheme="minorHAnsi" w:eastAsiaTheme="minorEastAsia" w:cstheme="minorBidi"/>
      <w:sz w:val="18"/>
      <w:szCs w:val="18"/>
      <w:lang w:eastAsia="en-US"/>
    </w:rPr>
  </w:style>
  <w:style w:type="character" w:customStyle="1" w:styleId="22">
    <w:name w:val="批注框文本 字符"/>
    <w:basedOn w:val="10"/>
    <w:link w:val="5"/>
    <w:qFormat/>
    <w:uiPriority w:val="0"/>
    <w:rPr>
      <w:rFonts w:asciiTheme="minorHAnsi" w:hAnsiTheme="minorHAnsi" w:eastAsiaTheme="minorEastAsia" w:cstheme="minorBidi"/>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2812</Words>
  <Characters>2984</Characters>
  <Lines>21</Lines>
  <Paragraphs>6</Paragraphs>
  <TotalTime>1</TotalTime>
  <ScaleCrop>false</ScaleCrop>
  <LinksUpToDate>false</LinksUpToDate>
  <CharactersWithSpaces>2985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2024-11-08T06:11:00Z</dcterms:created>
  <dc:creator>张小凡</dc:creator>
  <cp:lastModifiedBy>快乐驿站</cp:lastModifiedBy>
  <dcterms:modified xsi:type="dcterms:W3CDTF">2024-11-13T06:58:08Z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E002D1DDD9D644EFB1D88A2098617FEE_11</vt:lpwstr>
  </property>
</Properties>
</file>