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jc w:val="center"/>
        <w:textAlignment w:val="auto"/>
        <w:rPr>
          <w:rFonts w:hint="eastAsia"/>
          <w:b/>
          <w:bCs/>
          <w:sz w:val="36"/>
          <w:szCs w:val="44"/>
        </w:rPr>
      </w:pPr>
    </w:p>
    <w:p>
      <w:pPr>
        <w:pStyle w:val="2"/>
        <w:keepNext w:val="0"/>
        <w:keepLines w:val="0"/>
        <w:pageBreakBefore w:val="0"/>
        <w:widowControl w:val="0"/>
        <w:numPr>
          <w:ilvl w:val="0"/>
          <w:numId w:val="0"/>
        </w:numPr>
        <w:kinsoku/>
        <w:wordWrap/>
        <w:overflowPunct/>
        <w:topLinePunct w:val="0"/>
        <w:bidi w:val="0"/>
        <w:adjustRightInd/>
        <w:snapToGrid/>
        <w:spacing w:line="600" w:lineRule="exact"/>
        <w:jc w:val="center"/>
        <w:textAlignment w:val="auto"/>
        <w:rPr>
          <w:rFonts w:hint="eastAsia"/>
          <w:b/>
          <w:bCs/>
          <w:sz w:val="36"/>
          <w:szCs w:val="44"/>
        </w:rPr>
      </w:pPr>
      <w:r>
        <w:rPr>
          <w:rFonts w:hint="default"/>
          <w:b/>
          <w:bCs/>
          <w:sz w:val="36"/>
          <w:szCs w:val="44"/>
          <w:lang w:val="en-US"/>
        </w:rPr>
        <w:t>聚焦巩固绿色发展优势</w:t>
      </w:r>
    </w:p>
    <w:p>
      <w:pPr>
        <w:keepNext w:val="0"/>
        <w:keepLines w:val="0"/>
        <w:pageBreakBefore w:val="0"/>
        <w:widowControl w:val="0"/>
        <w:numPr>
          <w:ilvl w:val="0"/>
          <w:numId w:val="0"/>
        </w:numPr>
        <w:kinsoku/>
        <w:wordWrap/>
        <w:overflowPunct/>
        <w:topLinePunct w:val="0"/>
        <w:bidi w:val="0"/>
        <w:adjustRightInd/>
        <w:snapToGrid/>
        <w:spacing w:line="600" w:lineRule="exact"/>
        <w:jc w:val="center"/>
        <w:textAlignment w:val="auto"/>
        <w:rPr>
          <w:rFonts w:hint="eastAsia"/>
          <w:b/>
          <w:bCs/>
          <w:sz w:val="36"/>
          <w:szCs w:val="44"/>
        </w:rPr>
      </w:pPr>
      <w:r>
        <w:rPr>
          <w:rFonts w:hint="default"/>
          <w:b/>
          <w:bCs/>
          <w:sz w:val="36"/>
          <w:szCs w:val="44"/>
          <w:lang w:val="en-US"/>
        </w:rPr>
        <w:t>在生态文明建设上实现新突破行动计划</w:t>
      </w:r>
    </w:p>
    <w:p>
      <w:pPr>
        <w:pStyle w:val="2"/>
        <w:keepNext w:val="0"/>
        <w:keepLines w:val="0"/>
        <w:pageBreakBefore w:val="0"/>
        <w:widowControl w:val="0"/>
        <w:kinsoku/>
        <w:wordWrap/>
        <w:overflowPunct/>
        <w:topLinePunct w:val="0"/>
        <w:bidi w:val="0"/>
        <w:adjustRightInd/>
        <w:snapToGrid/>
        <w:spacing w:before="0" w:after="0" w:line="600" w:lineRule="exact"/>
        <w:jc w:val="center"/>
        <w:textAlignment w:val="auto"/>
        <w:rPr>
          <w:rFonts w:hint="eastAsia"/>
          <w:lang w:val="en-US" w:eastAsia="zh-CN"/>
        </w:rPr>
      </w:pPr>
      <w:r>
        <w:rPr>
          <w:rFonts w:hint="eastAsia"/>
          <w:lang w:val="en-US" w:eastAsia="zh-CN"/>
        </w:rPr>
        <w:t>（征求意见</w:t>
      </w:r>
      <w:bookmarkStart w:id="0" w:name="_GoBack"/>
      <w:bookmarkEnd w:id="0"/>
      <w:r>
        <w:rPr>
          <w:rFonts w:hint="eastAsia"/>
          <w:lang w:val="en-US" w:eastAsia="zh-CN"/>
        </w:rPr>
        <w:t>稿）</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sz w:val="32"/>
          <w:szCs w:val="40"/>
        </w:rPr>
      </w:pPr>
    </w:p>
    <w:p>
      <w:pPr>
        <w:pStyle w:val="9"/>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eastAsia="zh-CN"/>
        </w:rPr>
        <w:t>一、总体要求</w:t>
      </w:r>
    </w:p>
    <w:p>
      <w:pPr>
        <w:pStyle w:val="9"/>
        <w:keepNext w:val="0"/>
        <w:keepLines w:val="0"/>
        <w:pageBreakBefore w:val="0"/>
        <w:widowControl w:val="0"/>
        <w:numPr>
          <w:ilvl w:val="0"/>
          <w:numId w:val="0"/>
        </w:numPr>
        <w:kinsoku/>
        <w:wordWrap/>
        <w:overflowPunct/>
        <w:topLinePunct w:val="0"/>
        <w:bidi w:val="0"/>
        <w:adjustRightInd/>
        <w:snapToGrid/>
        <w:spacing w:line="600" w:lineRule="exact"/>
        <w:ind w:left="640" w:leftChars="0"/>
        <w:textAlignment w:val="auto"/>
        <w:rPr>
          <w:rFonts w:hint="eastAsia" w:ascii="楷体" w:hAnsi="楷体" w:eastAsia="楷体" w:cs="楷体"/>
          <w:b/>
          <w:bCs/>
          <w:sz w:val="32"/>
          <w:szCs w:val="40"/>
        </w:rPr>
      </w:pPr>
      <w:r>
        <w:rPr>
          <w:rFonts w:hint="eastAsia" w:ascii="楷体" w:hAnsi="楷体" w:eastAsia="楷体" w:cs="楷体"/>
          <w:b/>
          <w:bCs/>
          <w:sz w:val="32"/>
          <w:szCs w:val="40"/>
          <w:lang w:eastAsia="zh-CN"/>
        </w:rPr>
        <w:t>（一）</w:t>
      </w:r>
      <w:r>
        <w:rPr>
          <w:rFonts w:hint="eastAsia" w:ascii="楷体" w:hAnsi="楷体" w:eastAsia="楷体" w:cs="楷体"/>
          <w:b/>
          <w:bCs/>
          <w:sz w:val="32"/>
          <w:szCs w:val="40"/>
        </w:rPr>
        <w:t>指导思想</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仿宋" w:hAnsi="仿宋" w:eastAsia="仿宋" w:cs="仿宋"/>
          <w:sz w:val="32"/>
          <w:szCs w:val="40"/>
        </w:rPr>
      </w:pPr>
      <w:r>
        <w:rPr>
          <w:rFonts w:hint="eastAsia" w:ascii="仿宋" w:hAnsi="仿宋" w:eastAsia="仿宋" w:cs="仿宋"/>
          <w:sz w:val="32"/>
          <w:szCs w:val="40"/>
        </w:rPr>
        <w:t>以习近平生态文明思想为指导，深入落实习近平总书记关于“新时代东北全面振兴‘十四五’时期要有突破”重要指示和党的二十大提出的“推动东北全面振兴取得新突破”决策部署，认真落实省第十二次党代会和市第十四次党代会部署，</w:t>
      </w:r>
      <w:r>
        <w:rPr>
          <w:rFonts w:ascii="仿宋" w:hAnsi="仿宋" w:eastAsia="仿宋" w:cs="仿宋"/>
          <w:bCs/>
          <w:sz w:val="32"/>
          <w:szCs w:val="40"/>
        </w:rPr>
        <w:t>坚定不移走</w:t>
      </w:r>
      <w:r>
        <w:rPr>
          <w:rFonts w:hint="eastAsia" w:ascii="仿宋" w:hAnsi="仿宋" w:eastAsia="仿宋" w:cs="仿宋"/>
          <w:bCs/>
          <w:sz w:val="32"/>
          <w:szCs w:val="40"/>
        </w:rPr>
        <w:t>生态优先、节约集约、绿色低碳</w:t>
      </w:r>
      <w:r>
        <w:rPr>
          <w:rFonts w:ascii="仿宋" w:hAnsi="仿宋" w:eastAsia="仿宋" w:cs="仿宋"/>
          <w:bCs/>
          <w:sz w:val="32"/>
          <w:szCs w:val="40"/>
        </w:rPr>
        <w:t>的</w:t>
      </w:r>
      <w:r>
        <w:rPr>
          <w:rFonts w:hint="eastAsia" w:ascii="仿宋" w:hAnsi="仿宋" w:eastAsia="仿宋" w:cs="仿宋"/>
          <w:bCs/>
          <w:sz w:val="32"/>
          <w:szCs w:val="40"/>
        </w:rPr>
        <w:t>发展</w:t>
      </w:r>
      <w:r>
        <w:rPr>
          <w:rFonts w:ascii="仿宋" w:hAnsi="仿宋" w:eastAsia="仿宋" w:cs="仿宋"/>
          <w:bCs/>
          <w:sz w:val="32"/>
          <w:szCs w:val="40"/>
        </w:rPr>
        <w:t>道路</w:t>
      </w:r>
      <w:r>
        <w:rPr>
          <w:rFonts w:hint="eastAsia" w:ascii="仿宋" w:hAnsi="仿宋" w:eastAsia="仿宋" w:cs="仿宋"/>
          <w:bCs/>
          <w:sz w:val="32"/>
          <w:szCs w:val="40"/>
        </w:rPr>
        <w:t>，协同推进降碳、减污、扩绿、增长，</w:t>
      </w:r>
      <w:r>
        <w:rPr>
          <w:rFonts w:hint="eastAsia" w:ascii="仿宋" w:hAnsi="仿宋" w:eastAsia="仿宋" w:cs="仿宋"/>
          <w:sz w:val="32"/>
          <w:szCs w:val="40"/>
        </w:rPr>
        <w:t>坚持以人民为中心，以改善生态环境质量为核心，聚焦人民群众反映强烈的突出生态环境问题，突出精准治污、科学治污、依法治污</w:t>
      </w:r>
      <w:r>
        <w:rPr>
          <w:rFonts w:hint="eastAsia" w:ascii="仿宋" w:hAnsi="仿宋" w:eastAsia="仿宋" w:cs="仿宋"/>
          <w:sz w:val="32"/>
          <w:szCs w:val="40"/>
          <w:lang w:eastAsia="zh-CN"/>
        </w:rPr>
        <w:t>，</w:t>
      </w:r>
      <w:r>
        <w:rPr>
          <w:rFonts w:hint="eastAsia" w:ascii="仿宋" w:hAnsi="仿宋" w:eastAsia="仿宋" w:cs="仿宋"/>
          <w:sz w:val="32"/>
          <w:szCs w:val="40"/>
        </w:rPr>
        <w:t>以高品质生态环境支撑高质量发展，深入打好污染防治攻坚战，</w:t>
      </w:r>
      <w:r>
        <w:rPr>
          <w:rFonts w:hint="eastAsia" w:ascii="仿宋" w:hAnsi="仿宋" w:eastAsia="仿宋" w:cs="仿宋"/>
          <w:sz w:val="32"/>
          <w:szCs w:val="40"/>
          <w:lang w:val="en-US" w:eastAsia="zh-CN"/>
        </w:rPr>
        <w:t>开启</w:t>
      </w:r>
      <w:r>
        <w:rPr>
          <w:rFonts w:hint="eastAsia" w:ascii="仿宋" w:hAnsi="仿宋" w:eastAsia="仿宋" w:cs="仿宋"/>
          <w:sz w:val="32"/>
          <w:szCs w:val="40"/>
        </w:rPr>
        <w:t>美丽中国长春篇章。</w:t>
      </w:r>
    </w:p>
    <w:p>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lang w:eastAsia="zh-CN"/>
        </w:rPr>
        <w:t>（二）奋斗</w:t>
      </w:r>
      <w:r>
        <w:rPr>
          <w:rFonts w:hint="eastAsia" w:ascii="楷体" w:hAnsi="楷体" w:eastAsia="楷体" w:cs="楷体"/>
          <w:b/>
          <w:bCs/>
          <w:sz w:val="32"/>
          <w:szCs w:val="40"/>
        </w:rPr>
        <w:t>目标</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到2025年，</w:t>
      </w:r>
      <w:r>
        <w:rPr>
          <w:rFonts w:ascii="仿宋" w:hAnsi="仿宋" w:eastAsia="仿宋" w:cs="仿宋"/>
          <w:bCs/>
          <w:sz w:val="32"/>
          <w:szCs w:val="32"/>
        </w:rPr>
        <w:t>城乡国土空间开发保护格局进一步优化，生态建设和环境保护</w:t>
      </w:r>
      <w:r>
        <w:rPr>
          <w:rFonts w:hint="eastAsia" w:ascii="仿宋" w:hAnsi="仿宋" w:eastAsia="仿宋" w:cs="仿宋"/>
          <w:bCs/>
          <w:sz w:val="32"/>
          <w:szCs w:val="32"/>
        </w:rPr>
        <w:t>切实</w:t>
      </w:r>
      <w:r>
        <w:rPr>
          <w:rFonts w:ascii="仿宋" w:hAnsi="仿宋" w:eastAsia="仿宋" w:cs="仿宋"/>
          <w:bCs/>
          <w:sz w:val="32"/>
          <w:szCs w:val="32"/>
        </w:rPr>
        <w:t>加强，生产生活方式绿色转型成效显著，单位</w:t>
      </w:r>
      <w:r>
        <w:rPr>
          <w:rFonts w:hint="eastAsia" w:ascii="仿宋" w:hAnsi="仿宋" w:eastAsia="仿宋" w:cs="仿宋"/>
          <w:bCs/>
          <w:sz w:val="32"/>
          <w:szCs w:val="32"/>
        </w:rPr>
        <w:t>G</w:t>
      </w:r>
      <w:r>
        <w:rPr>
          <w:rFonts w:ascii="仿宋" w:hAnsi="仿宋" w:eastAsia="仿宋" w:cs="仿宋"/>
          <w:bCs/>
          <w:sz w:val="32"/>
          <w:szCs w:val="32"/>
        </w:rPr>
        <w:t>DP能耗下降</w:t>
      </w:r>
      <w:r>
        <w:rPr>
          <w:rFonts w:hint="eastAsia" w:ascii="仿宋" w:hAnsi="仿宋" w:eastAsia="仿宋" w:cs="仿宋"/>
          <w:bCs/>
          <w:sz w:val="32"/>
          <w:szCs w:val="32"/>
          <w:lang w:eastAsia="zh-CN"/>
        </w:rPr>
        <w:t>率达到</w:t>
      </w:r>
      <w:r>
        <w:rPr>
          <w:rFonts w:hint="eastAsia" w:ascii="仿宋" w:hAnsi="仿宋" w:eastAsia="仿宋" w:cs="仿宋"/>
          <w:bCs/>
          <w:sz w:val="32"/>
          <w:szCs w:val="32"/>
          <w:lang w:val="en-US" w:eastAsia="zh-CN"/>
        </w:rPr>
        <w:t>14.5%，</w:t>
      </w:r>
      <w:r>
        <w:rPr>
          <w:rFonts w:ascii="仿宋" w:hAnsi="仿宋" w:eastAsia="仿宋" w:cs="仿宋"/>
          <w:bCs/>
          <w:sz w:val="32"/>
          <w:szCs w:val="32"/>
        </w:rPr>
        <w:t>单位</w:t>
      </w:r>
      <w:r>
        <w:rPr>
          <w:rFonts w:hint="eastAsia" w:ascii="仿宋" w:hAnsi="仿宋" w:eastAsia="仿宋" w:cs="仿宋"/>
          <w:bCs/>
          <w:sz w:val="32"/>
          <w:szCs w:val="32"/>
        </w:rPr>
        <w:t>G</w:t>
      </w:r>
      <w:r>
        <w:rPr>
          <w:rFonts w:ascii="仿宋" w:hAnsi="仿宋" w:eastAsia="仿宋" w:cs="仿宋"/>
          <w:bCs/>
          <w:sz w:val="32"/>
          <w:szCs w:val="32"/>
        </w:rPr>
        <w:t>DP二氧化碳排放下降</w:t>
      </w:r>
      <w:r>
        <w:rPr>
          <w:rFonts w:hint="eastAsia" w:ascii="仿宋" w:hAnsi="仿宋" w:eastAsia="仿宋" w:cs="仿宋"/>
          <w:bCs/>
          <w:sz w:val="32"/>
          <w:szCs w:val="32"/>
          <w:lang w:eastAsia="zh-CN"/>
        </w:rPr>
        <w:t>率达到</w:t>
      </w:r>
      <w:r>
        <w:rPr>
          <w:rFonts w:hint="eastAsia" w:ascii="仿宋" w:hAnsi="仿宋" w:eastAsia="仿宋" w:cs="仿宋"/>
          <w:bCs/>
          <w:sz w:val="32"/>
          <w:szCs w:val="32"/>
          <w:lang w:val="en-US" w:eastAsia="zh-CN"/>
        </w:rPr>
        <w:t>18.1%</w:t>
      </w:r>
      <w:r>
        <w:rPr>
          <w:rFonts w:ascii="仿宋" w:hAnsi="仿宋" w:eastAsia="仿宋" w:cs="仿宋"/>
          <w:bCs/>
          <w:sz w:val="32"/>
          <w:szCs w:val="32"/>
        </w:rPr>
        <w:t>，</w:t>
      </w:r>
      <w:r>
        <w:rPr>
          <w:rFonts w:hint="eastAsia" w:ascii="仿宋" w:hAnsi="仿宋" w:eastAsia="仿宋" w:cs="仿宋"/>
          <w:bCs/>
          <w:sz w:val="32"/>
          <w:szCs w:val="32"/>
          <w:lang w:val="en-US" w:eastAsia="zh-CN"/>
        </w:rPr>
        <w:t>煤炭占能源消费比重下降率达到省目标要求，秸秆综合（五化）利用率达到90%，</w:t>
      </w:r>
      <w:r>
        <w:rPr>
          <w:rFonts w:hint="eastAsia" w:ascii="仿宋" w:hAnsi="仿宋" w:eastAsia="仿宋" w:cs="仿宋"/>
          <w:sz w:val="32"/>
          <w:szCs w:val="32"/>
          <w:lang w:eastAsia="zh-CN"/>
        </w:rPr>
        <w:t>细颗粒物浓度达到国家二级标准</w:t>
      </w:r>
      <w:r>
        <w:rPr>
          <w:rFonts w:hint="eastAsia" w:ascii="仿宋" w:hAnsi="仿宋" w:eastAsia="仿宋" w:cs="仿宋"/>
          <w:sz w:val="32"/>
          <w:szCs w:val="32"/>
        </w:rPr>
        <w:t>，地表水质量国家考核断面达到或好于Ⅲ类水体比例不低于</w:t>
      </w:r>
      <w:r>
        <w:rPr>
          <w:rFonts w:hint="eastAsia" w:ascii="仿宋" w:hAnsi="仿宋" w:eastAsia="仿宋" w:cs="仿宋"/>
          <w:sz w:val="32"/>
          <w:szCs w:val="32"/>
          <w:lang w:val="en-US" w:eastAsia="zh-CN"/>
        </w:rPr>
        <w:t>56.3</w:t>
      </w:r>
      <w:r>
        <w:rPr>
          <w:rFonts w:hint="eastAsia" w:ascii="仿宋" w:hAnsi="仿宋" w:eastAsia="仿宋" w:cs="仿宋"/>
          <w:sz w:val="32"/>
          <w:szCs w:val="32"/>
        </w:rPr>
        <w:t>%，</w:t>
      </w:r>
      <w:r>
        <w:rPr>
          <w:rFonts w:hint="eastAsia" w:ascii="仿宋" w:hAnsi="仿宋" w:eastAsia="仿宋" w:cs="仿宋"/>
          <w:sz w:val="32"/>
          <w:szCs w:val="32"/>
          <w:lang w:eastAsia="zh-CN"/>
        </w:rPr>
        <w:t>国考</w:t>
      </w:r>
      <w:r>
        <w:rPr>
          <w:rFonts w:hint="eastAsia" w:ascii="仿宋" w:hAnsi="仿宋" w:eastAsia="仿宋" w:cs="仿宋"/>
          <w:sz w:val="32"/>
          <w:szCs w:val="32"/>
        </w:rPr>
        <w:t>劣Ⅴ断面全部消除</w:t>
      </w:r>
      <w:r>
        <w:rPr>
          <w:rFonts w:hint="eastAsia" w:ascii="仿宋" w:hAnsi="仿宋" w:eastAsia="仿宋" w:cs="仿宋"/>
          <w:sz w:val="32"/>
          <w:szCs w:val="32"/>
          <w:lang w:eastAsia="zh-CN"/>
        </w:rPr>
        <w:t>，</w:t>
      </w:r>
      <w:r>
        <w:rPr>
          <w:rFonts w:hint="eastAsia" w:ascii="仿宋" w:hAnsi="仿宋" w:eastAsia="仿宋" w:cs="仿宋"/>
          <w:sz w:val="32"/>
          <w:szCs w:val="32"/>
        </w:rPr>
        <w:t>县级及以上城市集中式饮用水源水质全部达到或优于Ⅲ类水体，受污染耕地安全利用率达到</w:t>
      </w:r>
      <w:r>
        <w:rPr>
          <w:rFonts w:hint="eastAsia" w:ascii="仿宋" w:hAnsi="仿宋" w:eastAsia="仿宋" w:cs="仿宋"/>
          <w:sz w:val="32"/>
          <w:szCs w:val="32"/>
          <w:lang w:val="en-US" w:eastAsia="zh-CN"/>
        </w:rPr>
        <w:t>100%</w:t>
      </w:r>
      <w:r>
        <w:rPr>
          <w:rFonts w:hint="eastAsia" w:ascii="仿宋" w:hAnsi="仿宋" w:eastAsia="仿宋" w:cs="仿宋"/>
          <w:sz w:val="32"/>
          <w:szCs w:val="32"/>
        </w:rPr>
        <w:t>，重点建设用地安全利用得到有效保障，生物多样性得到有效保护，生态安全屏障更加牢固，城乡人居环境明显改善，生态环境治理体系更加完善，生态文明建设实现新进步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加快推进美丽长春建设</w:t>
      </w:r>
      <w:r>
        <w:rPr>
          <w:rFonts w:hint="eastAsia" w:ascii="仿宋" w:hAnsi="仿宋" w:eastAsia="仿宋" w:cs="仿宋"/>
          <w:sz w:val="32"/>
          <w:szCs w:val="32"/>
        </w:rPr>
        <w:t>。</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黑体" w:hAnsi="黑体" w:eastAsia="黑体" w:cs="黑体"/>
          <w:sz w:val="32"/>
          <w:szCs w:val="40"/>
        </w:rPr>
      </w:pPr>
      <w:r>
        <w:rPr>
          <w:rFonts w:hint="eastAsia" w:ascii="黑体" w:hAnsi="黑体" w:eastAsia="黑体" w:cs="黑体"/>
          <w:sz w:val="32"/>
          <w:szCs w:val="40"/>
          <w:lang w:eastAsia="zh-CN"/>
        </w:rPr>
        <w:t>二</w:t>
      </w:r>
      <w:r>
        <w:rPr>
          <w:rFonts w:hint="eastAsia" w:ascii="黑体" w:hAnsi="黑体" w:eastAsia="黑体" w:cs="黑体"/>
          <w:sz w:val="32"/>
          <w:szCs w:val="40"/>
        </w:rPr>
        <w:t>、重点任务</w:t>
      </w:r>
    </w:p>
    <w:p>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（一）加快推动绿色转型升级</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推进落实生态保护红线、环境质量底线、资源利用上线和生态环境准入清单制度，以高水平保护促进高质量发展。稳步推进“双碳”工作落实，</w:t>
      </w:r>
      <w:r>
        <w:rPr>
          <w:rFonts w:hint="eastAsia" w:ascii="仿宋_GB2312" w:hAnsi="仿宋_GB2312" w:eastAsia="仿宋_GB2312" w:cs="仿宋_GB2312"/>
          <w:bCs/>
          <w:color w:val="000000"/>
          <w:kern w:val="0"/>
          <w:sz w:val="32"/>
          <w:szCs w:val="44"/>
        </w:rPr>
        <w:t>抓住“十四五”碳达峰关键期、窗口期，</w:t>
      </w:r>
      <w:r>
        <w:rPr>
          <w:rFonts w:hint="eastAsia" w:ascii="仿宋_GB2312" w:hAnsi="仿宋_GB2312" w:eastAsia="仿宋_GB2312" w:cs="仿宋_GB2312"/>
          <w:bCs/>
          <w:color w:val="000000"/>
          <w:kern w:val="0"/>
          <w:sz w:val="32"/>
          <w:szCs w:val="44"/>
          <w:lang w:eastAsia="zh-CN"/>
        </w:rPr>
        <w:t>全面优化能源消费体系，</w:t>
      </w:r>
      <w:r>
        <w:rPr>
          <w:rFonts w:ascii="仿宋_GB2312" w:hAnsi="仿宋_GB2312" w:eastAsia="仿宋_GB2312" w:cs="仿宋_GB2312"/>
          <w:bCs/>
          <w:color w:val="000000"/>
          <w:kern w:val="0"/>
          <w:sz w:val="32"/>
          <w:szCs w:val="44"/>
        </w:rPr>
        <w:t>积极构建低碳循环发展格局。</w:t>
      </w:r>
      <w:r>
        <w:rPr>
          <w:rFonts w:hint="eastAsia" w:ascii="仿宋_GB2312" w:hAnsi="仿宋_GB2312" w:eastAsia="仿宋_GB2312" w:cs="仿宋_GB2312"/>
          <w:bCs/>
          <w:color w:val="000000"/>
          <w:kern w:val="0"/>
          <w:sz w:val="32"/>
          <w:szCs w:val="44"/>
        </w:rPr>
        <w:t>积极对接全省三个“三峡”</w:t>
      </w:r>
      <w:r>
        <w:rPr>
          <w:rFonts w:ascii="仿宋_GB2312" w:hAnsi="仿宋_GB2312" w:eastAsia="仿宋_GB2312" w:cs="仿宋_GB2312"/>
          <w:bCs/>
          <w:color w:val="000000"/>
          <w:kern w:val="0"/>
          <w:sz w:val="32"/>
          <w:szCs w:val="44"/>
        </w:rPr>
        <w:t>建设</w:t>
      </w:r>
      <w:r>
        <w:rPr>
          <w:rFonts w:hint="eastAsia" w:ascii="仿宋_GB2312" w:hAnsi="仿宋_GB2312" w:eastAsia="仿宋_GB2312" w:cs="仿宋_GB2312"/>
          <w:bCs/>
          <w:color w:val="000000"/>
          <w:kern w:val="0"/>
          <w:sz w:val="32"/>
          <w:szCs w:val="44"/>
        </w:rPr>
        <w:t>，</w:t>
      </w:r>
      <w:r>
        <w:rPr>
          <w:rFonts w:ascii="仿宋_GB2312" w:hAnsi="仿宋_GB2312" w:eastAsia="仿宋_GB2312" w:cs="仿宋_GB2312"/>
          <w:bCs/>
          <w:color w:val="000000"/>
          <w:kern w:val="0"/>
          <w:sz w:val="32"/>
          <w:szCs w:val="44"/>
        </w:rPr>
        <w:t>加快“</w:t>
      </w:r>
      <w:r>
        <w:rPr>
          <w:rFonts w:hint="eastAsia" w:ascii="仿宋_GB2312" w:hAnsi="仿宋_GB2312" w:eastAsia="仿宋_GB2312" w:cs="仿宋_GB2312"/>
          <w:bCs/>
          <w:color w:val="000000"/>
          <w:kern w:val="0"/>
          <w:sz w:val="32"/>
          <w:szCs w:val="44"/>
        </w:rPr>
        <w:t>氢动</w:t>
      </w:r>
      <w:r>
        <w:rPr>
          <w:rFonts w:hint="eastAsia" w:ascii="仿宋_GB2312" w:hAnsi="仿宋_GB2312" w:eastAsia="仿宋_GB2312" w:cs="仿宋_GB2312"/>
          <w:bCs/>
          <w:color w:val="auto"/>
          <w:kern w:val="0"/>
          <w:sz w:val="32"/>
          <w:szCs w:val="44"/>
          <w:lang w:eastAsia="zh-CN"/>
        </w:rPr>
        <w:t>长春</w:t>
      </w:r>
      <w:r>
        <w:rPr>
          <w:rFonts w:ascii="仿宋_GB2312" w:hAnsi="仿宋_GB2312" w:eastAsia="仿宋_GB2312" w:cs="仿宋_GB2312"/>
          <w:bCs/>
          <w:color w:val="000000"/>
          <w:kern w:val="0"/>
          <w:sz w:val="32"/>
          <w:szCs w:val="44"/>
        </w:rPr>
        <w:t>”</w:t>
      </w:r>
      <w:r>
        <w:rPr>
          <w:rFonts w:hint="eastAsia" w:ascii="仿宋_GB2312" w:hAnsi="仿宋_GB2312" w:eastAsia="仿宋_GB2312" w:cs="仿宋_GB2312"/>
          <w:bCs/>
          <w:color w:val="000000"/>
          <w:kern w:val="0"/>
          <w:sz w:val="32"/>
          <w:szCs w:val="44"/>
          <w:lang w:eastAsia="zh-CN"/>
        </w:rPr>
        <w:t>“旗</w:t>
      </w:r>
      <w:r>
        <w:rPr>
          <w:rFonts w:hint="default" w:ascii="仿宋_GB2312" w:hAnsi="仿宋_GB2312" w:eastAsia="仿宋_GB2312" w:cs="仿宋_GB2312"/>
          <w:bCs/>
          <w:color w:val="000000"/>
          <w:kern w:val="0"/>
          <w:sz w:val="32"/>
          <w:szCs w:val="44"/>
          <w:lang w:eastAsia="zh-CN"/>
        </w:rPr>
        <w:t>E</w:t>
      </w:r>
      <w:r>
        <w:rPr>
          <w:rFonts w:hint="eastAsia" w:ascii="仿宋_GB2312" w:hAnsi="仿宋_GB2312" w:eastAsia="仿宋_GB2312" w:cs="仿宋_GB2312"/>
          <w:bCs/>
          <w:color w:val="000000"/>
          <w:kern w:val="0"/>
          <w:sz w:val="32"/>
          <w:szCs w:val="44"/>
          <w:lang w:eastAsia="zh-CN"/>
        </w:rPr>
        <w:t>春城”</w:t>
      </w:r>
      <w:r>
        <w:rPr>
          <w:rFonts w:hint="eastAsia" w:ascii="仿宋_GB2312" w:hAnsi="仿宋_GB2312" w:eastAsia="仿宋_GB2312" w:cs="仿宋_GB2312"/>
          <w:bCs/>
          <w:color w:val="000000"/>
          <w:kern w:val="0"/>
          <w:sz w:val="32"/>
          <w:szCs w:val="44"/>
          <w:lang w:val="en-US" w:eastAsia="zh-CN"/>
        </w:rPr>
        <w:t>建设和</w:t>
      </w:r>
      <w:r>
        <w:rPr>
          <w:rFonts w:hint="eastAsia" w:ascii="仿宋_GB2312" w:hAnsi="仿宋_GB2312" w:eastAsia="仿宋_GB2312" w:cs="仿宋_GB2312"/>
          <w:sz w:val="32"/>
          <w:szCs w:val="32"/>
        </w:rPr>
        <w:t>国家绿色金融改革试验区</w:t>
      </w:r>
      <w:r>
        <w:rPr>
          <w:rFonts w:hint="eastAsia" w:ascii="仿宋_GB2312" w:hAnsi="仿宋_GB2312" w:eastAsia="仿宋_GB2312" w:cs="仿宋_GB2312"/>
          <w:bCs/>
          <w:color w:val="000000"/>
          <w:kern w:val="0"/>
          <w:sz w:val="32"/>
          <w:szCs w:val="44"/>
          <w:lang w:val="en-US" w:eastAsia="zh-CN"/>
        </w:rPr>
        <w:t>申建</w:t>
      </w:r>
      <w:r>
        <w:rPr>
          <w:rFonts w:hint="eastAsia" w:ascii="仿宋_GB2312" w:hAnsi="仿宋_GB2312" w:eastAsia="仿宋_GB2312" w:cs="仿宋_GB2312"/>
          <w:bCs/>
          <w:color w:val="000000"/>
          <w:kern w:val="0"/>
          <w:sz w:val="32"/>
          <w:szCs w:val="44"/>
          <w:lang w:eastAsia="zh-CN"/>
        </w:rPr>
        <w:t>。</w:t>
      </w:r>
      <w:r>
        <w:rPr>
          <w:rFonts w:hint="eastAsia" w:ascii="仿宋_GB2312" w:hAnsi="仿宋_GB2312" w:eastAsia="仿宋_GB2312" w:cs="仿宋_GB2312"/>
          <w:bCs/>
          <w:color w:val="000000"/>
          <w:kern w:val="0"/>
          <w:sz w:val="32"/>
          <w:szCs w:val="44"/>
        </w:rPr>
        <w:t>坚决遏制“两高”项目盲目发展</w:t>
      </w:r>
      <w:r>
        <w:rPr>
          <w:rFonts w:hint="eastAsia" w:ascii="仿宋_GB2312" w:hAnsi="仿宋_GB2312" w:eastAsia="仿宋_GB2312" w:cs="仿宋_GB2312"/>
          <w:bCs/>
          <w:color w:val="000000"/>
          <w:kern w:val="0"/>
          <w:sz w:val="32"/>
          <w:szCs w:val="44"/>
          <w:lang w:eastAsia="zh-CN"/>
        </w:rPr>
        <w:t>，</w:t>
      </w:r>
      <w:r>
        <w:rPr>
          <w:rFonts w:ascii="仿宋_GB2312" w:hAnsi="仿宋_GB2312" w:eastAsia="仿宋_GB2312" w:cs="仿宋_GB2312"/>
          <w:bCs/>
          <w:color w:val="000000"/>
          <w:kern w:val="0"/>
          <w:sz w:val="32"/>
          <w:szCs w:val="44"/>
        </w:rPr>
        <w:t>大力发展</w:t>
      </w:r>
      <w:r>
        <w:rPr>
          <w:rFonts w:hint="eastAsia" w:ascii="仿宋_GB2312" w:hAnsi="仿宋_GB2312" w:eastAsia="仿宋_GB2312" w:cs="仿宋_GB2312"/>
          <w:bCs/>
          <w:color w:val="000000"/>
          <w:kern w:val="0"/>
          <w:sz w:val="32"/>
          <w:szCs w:val="44"/>
        </w:rPr>
        <w:t>非资源型</w:t>
      </w:r>
      <w:r>
        <w:rPr>
          <w:rFonts w:ascii="仿宋_GB2312" w:hAnsi="仿宋_GB2312" w:eastAsia="仿宋_GB2312" w:cs="仿宋_GB2312"/>
          <w:bCs/>
          <w:color w:val="000000"/>
          <w:kern w:val="0"/>
          <w:sz w:val="32"/>
          <w:szCs w:val="44"/>
        </w:rPr>
        <w:t>和</w:t>
      </w:r>
      <w:r>
        <w:rPr>
          <w:rFonts w:hint="eastAsia" w:ascii="仿宋_GB2312" w:hAnsi="仿宋_GB2312" w:eastAsia="仿宋_GB2312" w:cs="仿宋_GB2312"/>
          <w:bCs/>
          <w:color w:val="000000"/>
          <w:kern w:val="0"/>
          <w:sz w:val="32"/>
          <w:szCs w:val="44"/>
        </w:rPr>
        <w:t>绿色低碳</w:t>
      </w:r>
      <w:r>
        <w:rPr>
          <w:rFonts w:ascii="仿宋_GB2312" w:hAnsi="仿宋_GB2312" w:eastAsia="仿宋_GB2312" w:cs="仿宋_GB2312"/>
          <w:bCs/>
          <w:color w:val="000000"/>
          <w:kern w:val="0"/>
          <w:sz w:val="32"/>
          <w:szCs w:val="44"/>
        </w:rPr>
        <w:t>的新能源</w:t>
      </w:r>
      <w:r>
        <w:rPr>
          <w:rFonts w:hint="eastAsia" w:ascii="仿宋_GB2312" w:hAnsi="仿宋_GB2312" w:eastAsia="仿宋_GB2312" w:cs="仿宋_GB2312"/>
          <w:bCs/>
          <w:color w:val="000000"/>
          <w:kern w:val="0"/>
          <w:sz w:val="32"/>
          <w:szCs w:val="44"/>
          <w:lang w:eastAsia="zh-CN"/>
        </w:rPr>
        <w:t>、新材料和循环经济</w:t>
      </w:r>
      <w:r>
        <w:rPr>
          <w:rFonts w:ascii="仿宋_GB2312" w:hAnsi="仿宋_GB2312" w:eastAsia="仿宋_GB2312" w:cs="仿宋_GB2312"/>
          <w:bCs/>
          <w:color w:val="000000"/>
          <w:kern w:val="0"/>
          <w:sz w:val="32"/>
          <w:szCs w:val="44"/>
        </w:rPr>
        <w:t>产业。</w:t>
      </w:r>
      <w:r>
        <w:rPr>
          <w:rFonts w:hint="eastAsia" w:ascii="仿宋_GB2312" w:hAnsi="仿宋_GB2312" w:eastAsia="仿宋_GB2312" w:cs="仿宋_GB2312"/>
          <w:sz w:val="32"/>
          <w:szCs w:val="32"/>
        </w:rPr>
        <w:t>积极推进碳中和研究院、碳普惠等平台载体建设，</w:t>
      </w:r>
      <w:r>
        <w:rPr>
          <w:rFonts w:hint="eastAsia" w:ascii="仿宋_GB2312" w:hAnsi="仿宋_GB2312" w:eastAsia="仿宋_GB2312" w:cs="仿宋_GB2312"/>
          <w:sz w:val="32"/>
          <w:szCs w:val="32"/>
          <w:lang w:eastAsia="zh-CN"/>
        </w:rPr>
        <w:t>融合开展低碳工厂、低碳园区、低碳建筑等</w:t>
      </w:r>
      <w:r>
        <w:rPr>
          <w:rFonts w:hint="eastAsia" w:ascii="仿宋_GB2312" w:hAnsi="仿宋_GB2312" w:eastAsia="仿宋_GB2312" w:cs="仿宋_GB2312"/>
          <w:sz w:val="32"/>
          <w:szCs w:val="32"/>
        </w:rPr>
        <w:t>碳排放示范区</w:t>
      </w: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sz w:val="32"/>
          <w:szCs w:val="32"/>
        </w:rPr>
        <w:t>，全面推进生产生活方式低碳化。</w:t>
      </w:r>
      <w:r>
        <w:rPr>
          <w:rFonts w:hint="eastAsia" w:ascii="仿宋" w:hAnsi="仿宋" w:eastAsia="仿宋" w:cs="仿宋"/>
          <w:sz w:val="32"/>
          <w:szCs w:val="32"/>
        </w:rPr>
        <w:t>（市生态环境局、市发改委、市规自局、市工信局、市建委、市交通运输局、市金融办、市商务局按职责分工负责）</w:t>
      </w:r>
    </w:p>
    <w:p>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（二）持续改善大气环境质量</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打好蓝天保卫战，着力打好重污染天气消除、臭氧污染防治、柴油货车污染治理三大攻坚战，聚焦细颗粒物和臭氧协同控制，强化多污染物协同减排。突出抓好秸秆综合利用和禁烧管控，提高“人防+技防”禁烧管控效能。</w:t>
      </w:r>
      <w:r>
        <w:rPr>
          <w:rFonts w:hint="eastAsia" w:ascii="仿宋" w:hAnsi="仿宋" w:eastAsia="仿宋" w:cs="仿宋"/>
          <w:sz w:val="32"/>
          <w:szCs w:val="32"/>
          <w:lang w:val="en-US" w:eastAsia="zh-CN"/>
        </w:rPr>
        <w:t>加快清洁取暖试点城市建设</w:t>
      </w:r>
      <w:r>
        <w:rPr>
          <w:rFonts w:hint="eastAsia" w:ascii="仿宋" w:hAnsi="仿宋" w:eastAsia="仿宋" w:cs="仿宋"/>
          <w:sz w:val="32"/>
          <w:szCs w:val="32"/>
        </w:rPr>
        <w:t>，重点推进燃煤锅炉淘汰改造及农村散煤治理工作。加快实施氮氧化物和挥发性有机物重点减排工程。强化柴油货车和非道路移动机械监管，开展部门联合监管执法。坚持精细化管理城市扬尘源。动态更新重污染应急减排清单。（市生态环境局、市发改委、市农业农村局、市交通运输局、市建委、市城管局、市公安局按职责分工负责）</w:t>
      </w:r>
    </w:p>
    <w:p>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（三）稳步提升水环境质量</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打好碧水保卫战，以断面水质达标为核心，围绕“稳定巩固消劣成果、稳步改善水源地水质、稳中提升优良水体比例”目标，</w:t>
      </w:r>
      <w:r>
        <w:rPr>
          <w:rFonts w:hint="eastAsia" w:ascii="仿宋_GB2312" w:hAnsi="仿宋_GB2312" w:eastAsia="仿宋_GB2312"/>
          <w:sz w:val="32"/>
          <w:szCs w:val="32"/>
          <w:lang w:val="en-US" w:eastAsia="zh-CN"/>
        </w:rPr>
        <w:t>深入</w:t>
      </w:r>
      <w:r>
        <w:rPr>
          <w:rFonts w:hint="eastAsia" w:ascii="仿宋_GB2312" w:hAnsi="仿宋_GB2312" w:eastAsia="仿宋_GB2312"/>
          <w:sz w:val="32"/>
          <w:szCs w:val="32"/>
        </w:rPr>
        <w:t>实施《长春市三年治水行动计划》。强化流域分区管理和重点流域治理，</w:t>
      </w:r>
      <w:r>
        <w:rPr>
          <w:rFonts w:hint="eastAsia" w:ascii="仿宋" w:hAnsi="仿宋" w:eastAsia="仿宋" w:cs="仿宋"/>
          <w:sz w:val="32"/>
          <w:szCs w:val="32"/>
        </w:rPr>
        <w:t>推进东辽河、饮马河、伊通河、新凯河等重点流域治理。</w:t>
      </w:r>
      <w:r>
        <w:rPr>
          <w:rFonts w:hint="eastAsia" w:ascii="仿宋" w:hAnsi="仿宋" w:eastAsia="仿宋" w:cs="仿宋"/>
          <w:sz w:val="32"/>
          <w:szCs w:val="32"/>
          <w:lang w:val="en-US" w:eastAsia="zh-CN"/>
        </w:rPr>
        <w:t>开</w:t>
      </w:r>
      <w:r>
        <w:rPr>
          <w:rFonts w:hint="eastAsia" w:ascii="仿宋" w:hAnsi="仿宋" w:eastAsia="仿宋" w:cs="仿宋"/>
          <w:sz w:val="32"/>
          <w:szCs w:val="32"/>
        </w:rPr>
        <w:t>展黑臭水体治理“回头看”，依托长春市建成区水体长效整治及水系连通工程，巩固城市黑臭水体治理成效，建立防止返黑返臭长效机制。巩固提升饮用水安全保障水平，</w:t>
      </w:r>
      <w:r>
        <w:rPr>
          <w:rFonts w:hint="eastAsia" w:ascii="仿宋_GB2312" w:hAnsi="仿宋_GB2312" w:eastAsia="仿宋_GB2312"/>
          <w:sz w:val="32"/>
          <w:szCs w:val="32"/>
        </w:rPr>
        <w:t>推进石头口门、新立城水源地综合治理项目，</w:t>
      </w:r>
      <w:r>
        <w:rPr>
          <w:rFonts w:hint="eastAsia" w:ascii="仿宋" w:hAnsi="仿宋" w:eastAsia="仿宋" w:cs="仿宋"/>
          <w:sz w:val="32"/>
          <w:szCs w:val="32"/>
        </w:rPr>
        <w:t>加快饮用水水源地规范化建设，持续开展水源保护区环境违法行为整治。深入落实河湖长制，持续开展入河（湖、库）排污口规范化整治，加快推进污水处理设施和管网建设。着力保障重要河湖生态流量，完善区域再生水循环利用体系。实施河湖生态修复，</w:t>
      </w:r>
      <w:r>
        <w:rPr>
          <w:rFonts w:hint="eastAsia" w:ascii="仿宋" w:hAnsi="仿宋" w:eastAsia="仿宋" w:cs="仿宋"/>
          <w:sz w:val="32"/>
          <w:szCs w:val="32"/>
          <w:lang w:eastAsia="zh-CN"/>
        </w:rPr>
        <w:t>推动开展绿美河湖专项行动，推动消除</w:t>
      </w:r>
      <w:r>
        <w:rPr>
          <w:rFonts w:hint="eastAsia" w:ascii="仿宋" w:hAnsi="仿宋" w:eastAsia="仿宋" w:cs="仿宋"/>
          <w:sz w:val="32"/>
          <w:szCs w:val="32"/>
          <w:lang w:val="en-US" w:eastAsia="zh-CN"/>
        </w:rPr>
        <w:t>“光板河”问题</w:t>
      </w:r>
      <w:r>
        <w:rPr>
          <w:rFonts w:hint="eastAsia" w:ascii="仿宋" w:hAnsi="仿宋" w:eastAsia="仿宋" w:cs="仿宋"/>
          <w:sz w:val="32"/>
          <w:szCs w:val="32"/>
        </w:rPr>
        <w:t>。（市生态环境局、市建委、市水务</w:t>
      </w:r>
      <w:r>
        <w:rPr>
          <w:rFonts w:hint="eastAsia" w:ascii="仿宋" w:hAnsi="仿宋" w:eastAsia="仿宋" w:cs="仿宋"/>
          <w:sz w:val="32"/>
          <w:szCs w:val="32"/>
          <w:lang w:val="en-US" w:eastAsia="zh-CN"/>
        </w:rPr>
        <w:t>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市规自局、</w:t>
      </w:r>
      <w:r>
        <w:rPr>
          <w:rFonts w:hint="eastAsia" w:ascii="仿宋" w:hAnsi="仿宋" w:eastAsia="仿宋" w:cs="仿宋"/>
          <w:sz w:val="32"/>
          <w:szCs w:val="32"/>
        </w:rPr>
        <w:t>市林园局按职责分工负责）</w:t>
      </w:r>
    </w:p>
    <w:p>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（四）切实保障土壤环境安全</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仿宋" w:hAnsi="仿宋" w:eastAsia="仿宋" w:cs="仿宋"/>
          <w:b/>
          <w:bCs/>
          <w:sz w:val="32"/>
          <w:szCs w:val="32"/>
        </w:rPr>
      </w:pPr>
      <w:r>
        <w:rPr>
          <w:rFonts w:hint="eastAsia" w:ascii="仿宋" w:hAnsi="仿宋" w:eastAsia="仿宋" w:cs="仿宋"/>
          <w:sz w:val="32"/>
          <w:szCs w:val="32"/>
        </w:rPr>
        <w:t>加强土壤重点源监管，动态更新土壤重点监管单位名录。落实建设用地准入管理和流转管控要求，避免不符合土壤环境质量的地块被开发利用，重点建设用地安全利用得到有效保障。建立耕地土壤环境质量类别动态调整机制，深入推进农用地土壤污染防治和安全利用，受污染耕地安全利用率保持稳定。加强地下水国考点位监管，完善地下水污染防治分区，推进地下水环境状况调查评估。加强农业面源污染治理，持续抓好农村人居环境整治，推进农药化肥减量化使用，完善生活垃圾“收储运”体系</w:t>
      </w:r>
      <w:r>
        <w:rPr>
          <w:rFonts w:hint="eastAsia" w:ascii="仿宋" w:hAnsi="仿宋" w:eastAsia="仿宋" w:cs="仿宋"/>
          <w:sz w:val="32"/>
          <w:szCs w:val="32"/>
          <w:lang w:eastAsia="zh-CN"/>
        </w:rPr>
        <w:t>，</w:t>
      </w:r>
      <w:r>
        <w:rPr>
          <w:rFonts w:hint="eastAsia" w:ascii="仿宋" w:hAnsi="仿宋" w:eastAsia="仿宋" w:cs="仿宋"/>
          <w:sz w:val="32"/>
          <w:szCs w:val="32"/>
        </w:rPr>
        <w:t>加快推进畜禽粪污资源化利用</w:t>
      </w:r>
      <w:r>
        <w:rPr>
          <w:rFonts w:hint="eastAsia" w:ascii="仿宋" w:hAnsi="仿宋" w:eastAsia="仿宋" w:cs="仿宋"/>
          <w:sz w:val="32"/>
          <w:szCs w:val="32"/>
          <w:lang w:eastAsia="zh-CN"/>
        </w:rPr>
        <w:t>，</w:t>
      </w:r>
      <w:r>
        <w:rPr>
          <w:rFonts w:hint="eastAsia" w:ascii="仿宋" w:hAnsi="仿宋" w:eastAsia="仿宋" w:cs="仿宋"/>
          <w:sz w:val="32"/>
          <w:szCs w:val="32"/>
        </w:rPr>
        <w:t>稳步推进农村生活污水治理，持续开展农村黑臭水体动态排查整治。（市生态环境局、市规自局、市农业农村局</w:t>
      </w:r>
      <w:r>
        <w:rPr>
          <w:rFonts w:hint="eastAsia" w:ascii="仿宋" w:hAnsi="仿宋" w:eastAsia="仿宋" w:cs="仿宋"/>
          <w:sz w:val="32"/>
          <w:szCs w:val="32"/>
          <w:lang w:eastAsia="zh-CN"/>
        </w:rPr>
        <w:t>、市畜牧局</w:t>
      </w:r>
      <w:r>
        <w:rPr>
          <w:rFonts w:hint="eastAsia" w:ascii="仿宋" w:hAnsi="仿宋" w:eastAsia="仿宋" w:cs="仿宋"/>
          <w:sz w:val="32"/>
          <w:szCs w:val="32"/>
        </w:rPr>
        <w:t>按职责分工负责）</w:t>
      </w:r>
    </w:p>
    <w:p>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ascii="仿宋" w:hAnsi="仿宋" w:eastAsia="仿宋" w:cs="仿宋"/>
          <w:b/>
          <w:bCs/>
          <w:sz w:val="32"/>
          <w:szCs w:val="32"/>
        </w:rPr>
      </w:pPr>
      <w:r>
        <w:rPr>
          <w:rFonts w:hint="eastAsia" w:ascii="楷体" w:hAnsi="楷体" w:eastAsia="楷体" w:cs="楷体"/>
          <w:b/>
          <w:bCs/>
          <w:sz w:val="32"/>
          <w:szCs w:val="40"/>
        </w:rPr>
        <w:t>（五）加强生态保护修复力度</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坚持山水林田湖草沙一体化保护和系统治理，持续推进“河河连通”“河湖连通”、生态补水工程，加快大水网、万里绿水长廊等项目建设，</w:t>
      </w:r>
      <w:r>
        <w:rPr>
          <w:rFonts w:hint="eastAsia" w:ascii="仿宋" w:hAnsi="仿宋" w:eastAsia="仿宋" w:cs="仿宋"/>
          <w:sz w:val="32"/>
          <w:szCs w:val="32"/>
          <w:lang w:val="en-US" w:eastAsia="zh-CN"/>
        </w:rPr>
        <w:t>推进</w:t>
      </w:r>
      <w:r>
        <w:rPr>
          <w:rFonts w:hint="eastAsia" w:ascii="仿宋" w:hAnsi="仿宋" w:eastAsia="仿宋" w:cs="仿宋"/>
          <w:sz w:val="32"/>
          <w:szCs w:val="32"/>
        </w:rPr>
        <w:t>双阳、九台等废弃矿山综合治理，落实新一轮“十年绿美吉林”行动，开展第二个50万亩大规模国土绿化行动，推进“绿盾”自然保护地强化监督专项行动。加强湿地保护与恢复，建立湿地资源开发保护协调工作机制，实施湿地保护与恢复工程。加强重点区位的生物多样性调查与评估工作，加强野生动植物保护管理监督，严格外来入侵物种防控。从严打击违规开发、毁林毁湿毁草等违法行为。开展生态文明示范创建工作，力争到2025年，50%以上县级以上地区生态文明示范创建取得阶段性成果。（市林园局、市规自局、市农业农村局、</w:t>
      </w:r>
      <w:r>
        <w:rPr>
          <w:rFonts w:hint="eastAsia" w:ascii="仿宋" w:hAnsi="仿宋" w:eastAsia="仿宋" w:cs="仿宋"/>
          <w:sz w:val="32"/>
          <w:szCs w:val="32"/>
          <w:lang w:val="en-US" w:eastAsia="zh-CN"/>
        </w:rPr>
        <w:t>市水务局、</w:t>
      </w:r>
      <w:r>
        <w:rPr>
          <w:rFonts w:hint="eastAsia" w:ascii="仿宋" w:hAnsi="仿宋" w:eastAsia="仿宋" w:cs="仿宋"/>
          <w:sz w:val="32"/>
          <w:szCs w:val="32"/>
        </w:rPr>
        <w:t>市生态环境局按职责分工负责）</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3" w:firstLineChars="200"/>
        <w:textAlignment w:val="auto"/>
        <w:rPr>
          <w:rFonts w:ascii="楷体" w:hAnsi="楷体" w:eastAsia="楷体" w:cs="楷体"/>
          <w:b/>
          <w:bCs/>
          <w:sz w:val="32"/>
          <w:szCs w:val="40"/>
        </w:rPr>
      </w:pPr>
      <w:r>
        <w:rPr>
          <w:rFonts w:hint="eastAsia" w:ascii="楷体" w:hAnsi="楷体" w:eastAsia="楷体" w:cs="楷体"/>
          <w:b/>
          <w:bCs/>
          <w:sz w:val="32"/>
          <w:szCs w:val="40"/>
        </w:rPr>
        <w:t>（六）加快推进“无废城市”建设</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全面启动“无废机关”“无废小区”“无废工厂”“无废学校”等“无废细胞”创建工作。积极搭建“无废城市”投融资平台，</w:t>
      </w:r>
      <w:r>
        <w:rPr>
          <w:rFonts w:hint="eastAsia" w:ascii="仿宋_GB2312" w:eastAsia="仿宋_GB2312"/>
          <w:sz w:val="32"/>
          <w:szCs w:val="32"/>
        </w:rPr>
        <w:t>完成“无废城市”项目的储备、归集</w:t>
      </w:r>
      <w:r>
        <w:rPr>
          <w:rFonts w:hint="eastAsia" w:ascii="仿宋_GB2312" w:hAnsi="仿宋_GB2312" w:eastAsia="仿宋_GB2312"/>
          <w:sz w:val="32"/>
          <w:szCs w:val="32"/>
        </w:rPr>
        <w:t>。举办“报废机动车回收拆解环境管理研讨会”，研究符合长春模式的固废减量化、资源化、无害化、低碳化发展方式。持续推进固体废物源头减量化、资源化、无害化，推进建筑垃圾资源化利用，完善建筑垃圾全过程监管体系，提升精细化、智能化、科技化监管水平；推进生活垃圾分类管理，推广“定点、定时、定车”不落地再生资源回收新模式，实现与生活垃圾分类投放、收集、运输、处理的“两网融合”；完善农药包装废弃物、旧农膜回收体系，推进秸秆、畜禽粪污综合利用，实现源头减量、过程控制、末端利用。（市“无废城市”建设工作专班成员单位按职责分工负责）</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3" w:firstLineChars="200"/>
        <w:textAlignment w:val="auto"/>
        <w:rPr>
          <w:rFonts w:ascii="楷体" w:hAnsi="楷体" w:eastAsia="楷体" w:cs="楷体"/>
          <w:b/>
          <w:bCs/>
          <w:sz w:val="32"/>
          <w:szCs w:val="40"/>
        </w:rPr>
      </w:pPr>
      <w:r>
        <w:rPr>
          <w:rFonts w:hint="eastAsia" w:ascii="楷体" w:hAnsi="楷体" w:eastAsia="楷体" w:cs="楷体"/>
          <w:b/>
          <w:bCs/>
          <w:sz w:val="32"/>
          <w:szCs w:val="40"/>
        </w:rPr>
        <w:t>（七）全面管控环境安全风险</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完善环境应急预案体系，定期开展突发环境事件应急演练，加强环境应急物资储备，提高突发环境事件应急处置能力。开展重点领域环境风险调查评估和隐患治理。结合安全生产百日攻坚战，开展危险废物、废弃危险化学品、重金属等风险隐患排查，实施重点河流突发水污染事件“一河一策一图”</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加强核与辐射安全的监督管理，积极稳妥推进放射性废物处置，确保废旧放射源、放射性废物安全送贮率稳定保持100%。开展辐射安全专项排查整治行动，切实维护环境安全。（市生态环境局负责）</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3" w:firstLineChars="200"/>
        <w:textAlignment w:val="auto"/>
        <w:rPr>
          <w:rFonts w:ascii="楷体" w:hAnsi="楷体" w:eastAsia="楷体" w:cs="楷体"/>
          <w:b/>
          <w:bCs/>
          <w:color w:val="FF0000"/>
          <w:sz w:val="32"/>
          <w:szCs w:val="40"/>
        </w:rPr>
      </w:pPr>
      <w:r>
        <w:rPr>
          <w:rFonts w:hint="eastAsia" w:ascii="楷体" w:hAnsi="楷体" w:eastAsia="楷体" w:cs="楷体"/>
          <w:b/>
          <w:bCs/>
          <w:sz w:val="32"/>
          <w:szCs w:val="40"/>
        </w:rPr>
        <w:t>（八）完善生态环境治理体系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snapToGrid/>
        <w:spacing w:line="600" w:lineRule="exact"/>
        <w:ind w:firstLine="640" w:firstLineChars="200"/>
        <w:textAlignment w:val="auto"/>
        <w:rPr>
          <w:rFonts w:ascii="仿宋" w:hAnsi="仿宋" w:eastAsia="仿宋" w:cs="仿宋"/>
          <w:sz w:val="32"/>
          <w:szCs w:val="32"/>
        </w:rPr>
      </w:pPr>
      <w:r>
        <w:rPr>
          <w:rFonts w:hint="eastAsia" w:ascii="仿宋_GB2312" w:hAnsi="仿宋" w:eastAsia="仿宋_GB2312"/>
          <w:sz w:val="32"/>
          <w:szCs w:val="32"/>
          <w:lang w:eastAsia="zh-CN"/>
        </w:rPr>
        <w:t>加快</w:t>
      </w:r>
      <w:r>
        <w:rPr>
          <w:rFonts w:hint="eastAsia" w:ascii="仿宋_GB2312" w:hAnsi="仿宋" w:eastAsia="仿宋_GB2312"/>
          <w:b w:val="0"/>
          <w:bCs/>
          <w:sz w:val="32"/>
          <w:szCs w:val="32"/>
          <w:lang w:eastAsia="zh-CN"/>
        </w:rPr>
        <w:t>形成“党委领导、政府主导、企业主体、公众参与”的大环保格局。</w:t>
      </w:r>
      <w:r>
        <w:rPr>
          <w:rFonts w:hint="eastAsia" w:ascii="仿宋_GB2312" w:hAnsi="仿宋" w:eastAsia="仿宋_GB2312"/>
          <w:b/>
          <w:sz w:val="32"/>
          <w:szCs w:val="32"/>
        </w:rPr>
        <w:t>一是</w:t>
      </w:r>
      <w:r>
        <w:rPr>
          <w:rFonts w:ascii="仿宋_GB2312" w:hAnsi="仿宋" w:eastAsia="仿宋_GB2312"/>
          <w:sz w:val="32"/>
          <w:szCs w:val="32"/>
        </w:rPr>
        <w:t>健全</w:t>
      </w:r>
      <w:r>
        <w:rPr>
          <w:rFonts w:hint="eastAsia" w:ascii="仿宋_GB2312" w:hAnsi="仿宋" w:eastAsia="仿宋_GB2312"/>
          <w:sz w:val="32"/>
          <w:szCs w:val="32"/>
          <w:lang w:eastAsia="zh-CN"/>
        </w:rPr>
        <w:t>党政领导</w:t>
      </w:r>
      <w:r>
        <w:rPr>
          <w:rFonts w:ascii="仿宋_GB2312" w:hAnsi="仿宋" w:eastAsia="仿宋_GB2312"/>
          <w:sz w:val="32"/>
          <w:szCs w:val="32"/>
        </w:rPr>
        <w:t>责任。</w:t>
      </w:r>
      <w:r>
        <w:rPr>
          <w:rFonts w:hint="eastAsia" w:ascii="仿宋" w:hAnsi="仿宋" w:eastAsia="仿宋" w:cs="仿宋"/>
          <w:sz w:val="32"/>
          <w:szCs w:val="40"/>
          <w:highlight w:val="none"/>
          <w:lang w:val="en-US" w:eastAsia="zh-CN"/>
        </w:rPr>
        <w:t>研究制定我市党政领导干部生态环境保护责任制，促进</w:t>
      </w:r>
      <w:r>
        <w:rPr>
          <w:rFonts w:hint="eastAsia" w:ascii="仿宋_GB2312" w:hAnsi="仿宋" w:eastAsia="仿宋_GB2312"/>
          <w:sz w:val="32"/>
          <w:szCs w:val="32"/>
        </w:rPr>
        <w:t>各级党委和政府履行</w:t>
      </w:r>
      <w:r>
        <w:rPr>
          <w:rFonts w:ascii="仿宋_GB2312" w:eastAsia="仿宋_GB2312"/>
          <w:sz w:val="32"/>
          <w:szCs w:val="32"/>
        </w:rPr>
        <w:t>生态环境保护第一责任人，</w:t>
      </w:r>
      <w:r>
        <w:rPr>
          <w:rFonts w:hint="eastAsia" w:ascii="仿宋_GB2312" w:eastAsia="仿宋_GB2312"/>
          <w:sz w:val="32"/>
          <w:szCs w:val="32"/>
        </w:rPr>
        <w:t>严格落实“党政同责、一岗双责”</w:t>
      </w:r>
      <w:r>
        <w:rPr>
          <w:rFonts w:hint="eastAsia" w:ascii="仿宋_GB2312" w:eastAsia="仿宋_GB2312"/>
          <w:sz w:val="32"/>
          <w:szCs w:val="32"/>
          <w:lang w:eastAsia="zh-CN"/>
        </w:rPr>
        <w:t>，有关部门全面落实生态环境保护责任，抓好本行业、本系统生态环境监管工作</w:t>
      </w:r>
      <w:r>
        <w:rPr>
          <w:rFonts w:hint="eastAsia" w:ascii="仿宋_GB2312" w:hAnsi="仿宋" w:eastAsia="仿宋_GB2312"/>
          <w:b w:val="0"/>
          <w:bCs/>
          <w:sz w:val="32"/>
          <w:szCs w:val="32"/>
          <w:lang w:eastAsia="zh-CN"/>
        </w:rPr>
        <w:t>。</w:t>
      </w:r>
      <w:r>
        <w:rPr>
          <w:rFonts w:hint="eastAsia" w:ascii="仿宋_GB2312" w:hAnsi="仿宋" w:eastAsia="仿宋_GB2312"/>
          <w:b/>
          <w:bCs w:val="0"/>
          <w:sz w:val="32"/>
          <w:szCs w:val="32"/>
          <w:lang w:eastAsia="zh-CN"/>
        </w:rPr>
        <w:t>二是</w:t>
      </w:r>
      <w:r>
        <w:rPr>
          <w:rFonts w:hint="eastAsia" w:ascii="仿宋_GB2312" w:hAnsi="仿宋" w:eastAsia="仿宋_GB2312"/>
          <w:b w:val="0"/>
          <w:bCs/>
          <w:sz w:val="32"/>
          <w:szCs w:val="32"/>
          <w:lang w:eastAsia="zh-CN"/>
        </w:rPr>
        <w:t>督促企业落实主体责任。督促企业落实“谁污染、谁治理”“谁破坏、谁修复”的主体责任，严格落实生态环境损害赔偿、环境污染强制责任保险、环境信息依法披露制度、企业环保信用评价等机制。严格实施排污许可证制度，强化排污许可证后监管。</w:t>
      </w:r>
      <w:r>
        <w:rPr>
          <w:rFonts w:hint="eastAsia" w:ascii="仿宋_GB2312" w:hAnsi="仿宋" w:eastAsia="仿宋_GB2312"/>
          <w:b/>
          <w:bCs w:val="0"/>
          <w:sz w:val="32"/>
          <w:szCs w:val="32"/>
          <w:lang w:eastAsia="zh-CN"/>
        </w:rPr>
        <w:t>三是</w:t>
      </w:r>
      <w:r>
        <w:rPr>
          <w:rFonts w:hint="eastAsia" w:ascii="仿宋_GB2312" w:hAnsi="仿宋" w:eastAsia="仿宋_GB2312"/>
          <w:b w:val="0"/>
          <w:bCs/>
          <w:sz w:val="32"/>
          <w:szCs w:val="32"/>
          <w:lang w:eastAsia="zh-CN"/>
        </w:rPr>
        <w:t>健全全民行动体系。</w:t>
      </w:r>
      <w:r>
        <w:rPr>
          <w:rFonts w:hint="eastAsia" w:ascii="仿宋" w:hAnsi="仿宋" w:eastAsia="仿宋" w:cs="仿宋"/>
          <w:sz w:val="32"/>
          <w:szCs w:val="32"/>
        </w:rPr>
        <w:t>畅通公众反馈生态环境问题渠道，落实生态环境违法行为有奖举报</w:t>
      </w:r>
      <w:r>
        <w:rPr>
          <w:rFonts w:hint="eastAsia" w:ascii="仿宋" w:hAnsi="仿宋" w:eastAsia="仿宋" w:cs="仿宋"/>
          <w:sz w:val="32"/>
          <w:szCs w:val="32"/>
          <w:lang w:eastAsia="zh-CN"/>
        </w:rPr>
        <w:t>，</w:t>
      </w:r>
      <w:r>
        <w:rPr>
          <w:rFonts w:hint="eastAsia" w:ascii="仿宋" w:hAnsi="仿宋" w:eastAsia="仿宋" w:cs="仿宋"/>
          <w:sz w:val="32"/>
          <w:szCs w:val="32"/>
        </w:rPr>
        <w:t>推进符合条件的环保设施向社会开放，接受公众参观和监督</w:t>
      </w:r>
      <w:r>
        <w:rPr>
          <w:rFonts w:hint="eastAsia" w:ascii="仿宋" w:hAnsi="仿宋" w:eastAsia="仿宋" w:cs="仿宋"/>
          <w:sz w:val="32"/>
          <w:szCs w:val="32"/>
          <w:lang w:eastAsia="zh-CN"/>
        </w:rPr>
        <w:t>，</w:t>
      </w:r>
      <w:r>
        <w:rPr>
          <w:rFonts w:hint="eastAsia" w:ascii="仿宋" w:hAnsi="仿宋" w:eastAsia="仿宋" w:cs="仿宋"/>
          <w:sz w:val="32"/>
          <w:szCs w:val="32"/>
        </w:rPr>
        <w:t>充分利用六五环境日、吉林生态日、全国低碳日等，</w:t>
      </w:r>
      <w:r>
        <w:rPr>
          <w:rFonts w:hint="eastAsia" w:ascii="仿宋" w:hAnsi="仿宋" w:eastAsia="仿宋" w:cs="仿宋"/>
          <w:sz w:val="32"/>
          <w:szCs w:val="32"/>
          <w:lang w:eastAsia="zh-CN"/>
        </w:rPr>
        <w:t>开展环境公益宣传，引导公民自觉履行生态环境保护责任</w:t>
      </w:r>
      <w:r>
        <w:rPr>
          <w:rFonts w:hint="eastAsia" w:ascii="仿宋" w:hAnsi="仿宋" w:eastAsia="仿宋" w:cs="仿宋"/>
          <w:sz w:val="32"/>
          <w:szCs w:val="32"/>
        </w:rPr>
        <w:t>。</w:t>
      </w:r>
      <w:r>
        <w:rPr>
          <w:rFonts w:hint="eastAsia" w:ascii="仿宋" w:hAnsi="仿宋" w:eastAsia="仿宋" w:cs="仿宋"/>
          <w:b/>
          <w:bCs/>
          <w:sz w:val="32"/>
          <w:szCs w:val="32"/>
          <w:lang w:eastAsia="zh-CN"/>
        </w:rPr>
        <w:t>四是</w:t>
      </w:r>
      <w:r>
        <w:rPr>
          <w:rFonts w:hint="eastAsia" w:ascii="仿宋_GB2312" w:hAnsi="仿宋" w:eastAsia="仿宋_GB2312"/>
          <w:sz w:val="32"/>
          <w:szCs w:val="32"/>
          <w:lang w:val="en-US" w:eastAsia="zh-CN"/>
        </w:rPr>
        <w:t>强化法治政策保障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印发实施《美丽长春建设实施意见》。</w:t>
      </w:r>
      <w:r>
        <w:rPr>
          <w:rFonts w:hint="eastAsia" w:ascii="仿宋" w:hAnsi="仿宋" w:eastAsia="仿宋" w:cs="仿宋"/>
          <w:sz w:val="32"/>
          <w:szCs w:val="32"/>
        </w:rPr>
        <w:t>贯彻落实新《噪声法》,强化工业、建筑施工、交通、社会生活等噪声污染防治。</w:t>
      </w:r>
      <w:r>
        <w:rPr>
          <w:rFonts w:hint="eastAsia" w:ascii="仿宋_GB2312" w:hAnsi="仿宋" w:eastAsia="仿宋_GB2312"/>
          <w:sz w:val="32"/>
          <w:szCs w:val="32"/>
          <w:lang w:eastAsia="zh-CN"/>
        </w:rPr>
        <w:t>全面落实</w:t>
      </w:r>
      <w:r>
        <w:rPr>
          <w:rFonts w:hint="eastAsia" w:ascii="仿宋_GB2312" w:hAnsi="仿宋" w:eastAsia="仿宋_GB2312" w:cs="仿宋"/>
          <w:sz w:val="32"/>
          <w:szCs w:val="32"/>
        </w:rPr>
        <w:t>《生态环境行政处罚办法》，</w:t>
      </w:r>
      <w:r>
        <w:rPr>
          <w:rFonts w:hint="eastAsia" w:ascii="仿宋_GB2312" w:eastAsia="仿宋_GB2312"/>
          <w:sz w:val="32"/>
          <w:szCs w:val="32"/>
        </w:rPr>
        <w:t>健全完善交叉检查、异地执法、专案查办等执法机制，加强部门协调联动。</w:t>
      </w:r>
      <w:r>
        <w:rPr>
          <w:rFonts w:hint="eastAsia" w:ascii="仿宋" w:hAnsi="仿宋" w:eastAsia="仿宋" w:cs="仿宋"/>
          <w:sz w:val="32"/>
          <w:szCs w:val="32"/>
        </w:rPr>
        <w:t>强化生态环境行政执法与刑事司法衔接</w:t>
      </w:r>
      <w:r>
        <w:rPr>
          <w:rFonts w:hint="eastAsia" w:ascii="仿宋_GB2312" w:eastAsia="仿宋_GB2312"/>
          <w:sz w:val="32"/>
          <w:szCs w:val="32"/>
        </w:rPr>
        <w:t>，依法严厉打击生态环境领域各类违法犯罪行为，加大破坏生态环境案件起诉力度，加强生态环境公益诉讼。持续强化执法能力建设，</w:t>
      </w:r>
      <w:r>
        <w:rPr>
          <w:rFonts w:hint="eastAsia" w:ascii="仿宋_GB2312" w:hAnsi="仿宋" w:eastAsia="仿宋_GB2312" w:cs="仿宋"/>
          <w:color w:val="000000"/>
          <w:sz w:val="32"/>
          <w:szCs w:val="32"/>
        </w:rPr>
        <w:t>大力拓展无人机、无人船、走航车等非现场监管手段</w:t>
      </w:r>
      <w:r>
        <w:rPr>
          <w:rFonts w:hint="eastAsia" w:ascii="仿宋_GB2312" w:eastAsia="仿宋_GB2312"/>
          <w:sz w:val="32"/>
          <w:szCs w:val="32"/>
        </w:rPr>
        <w:t>，加快</w:t>
      </w:r>
      <w:r>
        <w:rPr>
          <w:rFonts w:hint="eastAsia" w:ascii="仿宋_GB2312" w:hAnsi="仿宋" w:eastAsia="仿宋_GB2312" w:cs="仿宋"/>
          <w:sz w:val="32"/>
          <w:szCs w:val="32"/>
        </w:rPr>
        <w:t>生态环境综合监控平台建设，</w:t>
      </w:r>
      <w:r>
        <w:rPr>
          <w:rFonts w:hint="eastAsia" w:ascii="仿宋_GB2312" w:hAnsi="仿宋" w:eastAsia="仿宋_GB2312" w:cs="Times New Roman"/>
          <w:bCs/>
          <w:sz w:val="32"/>
          <w:szCs w:val="32"/>
        </w:rPr>
        <w:t>提升规范执法智慧监督水平</w:t>
      </w:r>
      <w:r>
        <w:rPr>
          <w:rFonts w:hint="eastAsia" w:ascii="仿宋_GB2312" w:eastAsia="仿宋_GB2312"/>
          <w:sz w:val="32"/>
          <w:szCs w:val="32"/>
        </w:rPr>
        <w:t>。</w:t>
      </w:r>
      <w:r>
        <w:rPr>
          <w:rFonts w:hint="eastAsia" w:ascii="仿宋" w:hAnsi="仿宋" w:eastAsia="仿宋" w:cs="仿宋"/>
          <w:sz w:val="32"/>
          <w:szCs w:val="32"/>
        </w:rPr>
        <w:t>（有关市直部门按职责分工负责）</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0" w:firstLineChars="200"/>
        <w:textAlignment w:val="auto"/>
        <w:rPr>
          <w:rFonts w:ascii="黑体" w:hAnsi="黑体" w:eastAsia="黑体" w:cs="黑体"/>
          <w:sz w:val="32"/>
          <w:szCs w:val="40"/>
        </w:rPr>
      </w:pPr>
      <w:r>
        <w:rPr>
          <w:rFonts w:hint="eastAsia" w:ascii="黑体" w:hAnsi="黑体" w:eastAsia="黑体" w:cs="黑体"/>
          <w:sz w:val="32"/>
          <w:szCs w:val="40"/>
          <w:lang w:eastAsia="zh-CN"/>
        </w:rPr>
        <w:t>三</w:t>
      </w:r>
      <w:r>
        <w:rPr>
          <w:rFonts w:hint="eastAsia" w:ascii="黑体" w:hAnsi="黑体" w:eastAsia="黑体" w:cs="黑体"/>
          <w:sz w:val="32"/>
          <w:szCs w:val="40"/>
        </w:rPr>
        <w:t>、保障措施</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3" w:firstLineChars="200"/>
        <w:textAlignment w:val="auto"/>
        <w:rPr>
          <w:rFonts w:ascii="楷体" w:hAnsi="楷体" w:eastAsia="楷体" w:cs="楷体"/>
          <w:b/>
          <w:bCs/>
          <w:sz w:val="32"/>
          <w:szCs w:val="40"/>
        </w:rPr>
      </w:pPr>
      <w:r>
        <w:rPr>
          <w:rFonts w:hint="eastAsia" w:ascii="楷体" w:hAnsi="楷体" w:eastAsia="楷体" w:cs="楷体"/>
          <w:b/>
          <w:bCs/>
          <w:sz w:val="32"/>
          <w:szCs w:val="40"/>
        </w:rPr>
        <w:t>（一）加强党的领导</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0" w:firstLineChars="200"/>
        <w:textAlignment w:val="auto"/>
        <w:rPr>
          <w:rFonts w:ascii="楷体" w:hAnsi="楷体" w:eastAsia="楷体" w:cs="楷体"/>
          <w:b/>
          <w:bCs/>
          <w:sz w:val="32"/>
          <w:szCs w:val="40"/>
        </w:rPr>
      </w:pPr>
      <w:r>
        <w:rPr>
          <w:rFonts w:hint="eastAsia" w:ascii="仿宋" w:hAnsi="仿宋" w:eastAsia="仿宋" w:cs="仿宋"/>
          <w:sz w:val="32"/>
          <w:szCs w:val="32"/>
        </w:rPr>
        <w:t>坚持把党的领导贯穿生态建设行动各方面全过程，推动各级党员干部争当政治忠诚、振兴发展、为民造福、担当作为、真抓实干、捍卫安全、维护团结、廉洁奉公的表率。充分发挥基层党组织战斗堡垒作用和党员先锋模范作用，</w:t>
      </w:r>
      <w:r>
        <w:rPr>
          <w:rFonts w:ascii="仿宋" w:hAnsi="仿宋" w:eastAsia="仿宋" w:cs="仿宋"/>
          <w:sz w:val="32"/>
          <w:szCs w:val="32"/>
        </w:rPr>
        <w:t>激发广大干部</w:t>
      </w:r>
      <w:r>
        <w:rPr>
          <w:rFonts w:hint="eastAsia" w:ascii="仿宋" w:hAnsi="仿宋" w:eastAsia="仿宋" w:cs="仿宋"/>
          <w:sz w:val="32"/>
          <w:szCs w:val="32"/>
        </w:rPr>
        <w:t>干事创业热情。持续净化政治生态，以高质量党建引领高质量生态环境治理。（有关市直部门按职责分工负责）</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3" w:firstLineChars="200"/>
        <w:textAlignment w:val="auto"/>
        <w:rPr>
          <w:rFonts w:ascii="楷体" w:hAnsi="楷体" w:eastAsia="楷体" w:cs="楷体"/>
          <w:b/>
          <w:bCs/>
          <w:sz w:val="32"/>
          <w:szCs w:val="40"/>
        </w:rPr>
      </w:pPr>
      <w:r>
        <w:rPr>
          <w:rFonts w:hint="eastAsia" w:ascii="楷体" w:hAnsi="楷体" w:eastAsia="楷体" w:cs="楷体"/>
          <w:b/>
          <w:bCs/>
          <w:sz w:val="32"/>
          <w:szCs w:val="40"/>
        </w:rPr>
        <w:t>（二）压实工作责任</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各地、各有关部门坚决扛起生态文明建设和生态环境保护的政治责任，增强各级党委和政府主体责任意识，强化研究部署、决策指挥、协调各方、督办落实等职责。各职能部门按照职责分工，抓好本行业、本领域的目标任务落实工作，强化部门协作和地方指导。充分发挥生态环境保护工作议事协调机构作用，加强制度建设，研究部署生态环境保护重要工作。（有关市直部门按职责分工负责）</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（三）严格考核问责</w:t>
      </w:r>
    </w:p>
    <w:p>
      <w:pPr>
        <w:keepNext w:val="0"/>
        <w:keepLines w:val="0"/>
        <w:pageBreakBefore w:val="0"/>
        <w:widowControl w:val="0"/>
        <w:pBdr>
          <w:bottom w:val="single" w:color="FFFFFF" w:sz="4" w:space="31"/>
        </w:pBdr>
        <w:tabs>
          <w:tab w:val="left" w:pos="1440"/>
        </w:tabs>
        <w:kinsoku/>
        <w:wordWrap/>
        <w:overflowPunct/>
        <w:topLinePunct w:val="0"/>
        <w:autoSpaceDE w:val="0"/>
        <w:autoSpaceDN w:val="0"/>
        <w:bidi w:val="0"/>
        <w:adjustRightInd/>
        <w:snapToGrid/>
        <w:spacing w:line="600" w:lineRule="exact"/>
        <w:ind w:firstLine="640" w:firstLineChars="200"/>
        <w:textAlignment w:val="auto"/>
        <w:rPr>
          <w:rFonts w:ascii="仿宋" w:hAnsi="仿宋" w:eastAsia="仿宋" w:cs="仿宋"/>
          <w:sz w:val="32"/>
          <w:szCs w:val="40"/>
        </w:rPr>
      </w:pPr>
      <w:r>
        <w:rPr>
          <w:rFonts w:hint="eastAsia" w:ascii="仿宋" w:hAnsi="仿宋" w:eastAsia="仿宋" w:cs="仿宋"/>
          <w:sz w:val="32"/>
          <w:szCs w:val="40"/>
        </w:rPr>
        <w:t>将生态环境保护重点任务和督察整改完成情况纳入政府绩效考核体系，落实党政领导干部生态环境损害赔偿终身追究制度。对不正确履职尽责、工作落实不到位、生态环境任务未完成、督察整改不力的地方和部门，依规依纪依法严肃追责问责。（市生态环境局、市委组织部</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市纪委监委</w:t>
      </w:r>
      <w:r>
        <w:rPr>
          <w:rFonts w:hint="eastAsia" w:ascii="仿宋" w:hAnsi="仿宋" w:eastAsia="仿宋" w:cs="仿宋"/>
          <w:sz w:val="32"/>
          <w:szCs w:val="40"/>
        </w:rPr>
        <w:t>按职责分工负责）</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snapToGrid/>
        <w:spacing w:line="600" w:lineRule="exact"/>
        <w:ind w:firstLine="643"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（四）强化队伍建设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snapToGrid/>
        <w:spacing w:line="600" w:lineRule="exact"/>
        <w:ind w:firstLine="640" w:firstLineChars="200"/>
        <w:jc w:val="both"/>
        <w:textAlignment w:val="auto"/>
        <w:rPr>
          <w:rFonts w:ascii="仿宋" w:hAnsi="仿宋" w:eastAsia="仿宋" w:cs="仿宋"/>
          <w:sz w:val="32"/>
          <w:szCs w:val="40"/>
        </w:rPr>
      </w:pPr>
      <w:r>
        <w:rPr>
          <w:rFonts w:hint="eastAsia" w:ascii="仿宋" w:hAnsi="仿宋" w:eastAsia="仿宋" w:cs="仿宋"/>
          <w:b w:val="0"/>
          <w:bCs w:val="0"/>
          <w:sz w:val="32"/>
          <w:szCs w:val="32"/>
          <w:lang w:val="en-US" w:eastAsia="zh-CN"/>
        </w:rPr>
        <w:t>健全完善生态环境机构监测监察执法垂直管理制度，推进标准化建设，提升执法效能。加强环境应急队伍建设。加强生态环境保护领域人才队伍建设，加大人才引进和培养力度，强化干部队伍管理，推进激励生态环境干部履职尽责的保障体系建设，调整优化干部队伍结构。（市生态环境局、市人社局、市委组织部按职责分工负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4YmNhNzc3NDQ0NjFiOWJlMGY2ZDcxNDY2ZGYwMmUifQ=="/>
  </w:docVars>
  <w:rsids>
    <w:rsidRoot w:val="00000000"/>
    <w:rsid w:val="0162391F"/>
    <w:rsid w:val="094C3466"/>
    <w:rsid w:val="0E762C16"/>
    <w:rsid w:val="11A80AB9"/>
    <w:rsid w:val="17103D25"/>
    <w:rsid w:val="31D65E3F"/>
    <w:rsid w:val="34B65824"/>
    <w:rsid w:val="398F27E6"/>
    <w:rsid w:val="3BF556C3"/>
    <w:rsid w:val="46183EC9"/>
    <w:rsid w:val="6C9D6326"/>
    <w:rsid w:val="78B152D9"/>
    <w:rsid w:val="7CB0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pPr>
    <w:rPr>
      <w:rFonts w:ascii="Calibri Light" w:hAnsi="Calibri Light"/>
      <w:b/>
      <w:bCs/>
      <w:sz w:val="32"/>
      <w:szCs w:val="32"/>
    </w:rPr>
  </w:style>
  <w:style w:type="paragraph" w:styleId="3">
    <w:name w:val="index 5"/>
    <w:basedOn w:val="1"/>
    <w:next w:val="1"/>
    <w:qFormat/>
    <w:uiPriority w:val="99"/>
    <w:pPr>
      <w:snapToGrid w:val="0"/>
      <w:spacing w:line="360" w:lineRule="auto"/>
      <w:ind w:firstLine="640" w:firstLineChars="200"/>
    </w:pPr>
    <w:rPr>
      <w:rFonts w:ascii="黑体" w:hAnsi="黑体" w:eastAsia="黑体" w:cs="仿宋_GB2312"/>
      <w:bCs/>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7367B-A1D4-4CE3-BFF0-FDD8F5CEBCA9}">
  <ds:schemaRefs/>
</ds:datastoreItem>
</file>

<file path=docProps/app.xml><?xml version="1.0" encoding="utf-8"?>
<Properties xmlns="http://schemas.openxmlformats.org/officeDocument/2006/extended-properties" xmlns:vt="http://schemas.openxmlformats.org/officeDocument/2006/docPropsVTypes">
  <Template>Normal</Template>
  <Pages>8</Pages>
  <Words>3979</Words>
  <Characters>4012</Characters>
  <Paragraphs>40</Paragraphs>
  <TotalTime>0</TotalTime>
  <ScaleCrop>false</ScaleCrop>
  <LinksUpToDate>false</LinksUpToDate>
  <CharactersWithSpaces>4014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2023-05-29T07:56:00Z</dcterms:created>
  <dc:creator>Administrator</dc:creator>
  <cp:lastModifiedBy>小家伙</cp:lastModifiedBy>
  <cp:lastPrinted>2023-06-25T06:59:00Z</cp:lastPrinted>
  <dcterms:modified xsi:type="dcterms:W3CDTF">2023-08-01T08:14:59Z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19B7A22A86F74315A0B03B75B9D705C8_12</vt:lpwstr>
  </property>
</Properties>
</file>